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347D4" w14:textId="3CA4FCD9" w:rsidR="007B7DD8" w:rsidRDefault="00C11AB3" w:rsidP="00CC5193">
      <w:pPr>
        <w:pStyle w:val="TOCHeading"/>
        <w:spacing w:before="0" w:after="200"/>
        <w:jc w:val="center"/>
        <w:rPr>
          <w:rFonts w:ascii="Arial" w:eastAsiaTheme="minorHAnsi" w:hAnsi="Arial" w:cs="Arial"/>
          <w:b w:val="0"/>
          <w:color w:val="auto"/>
          <w:sz w:val="48"/>
          <w:szCs w:val="48"/>
          <w:lang w:val="en-GB" w:eastAsia="en-US"/>
        </w:rPr>
      </w:pPr>
      <w:r>
        <w:rPr>
          <w:rFonts w:ascii="Arial" w:eastAsiaTheme="minorHAnsi" w:hAnsi="Arial" w:cs="Arial"/>
          <w:b w:val="0"/>
          <w:noProof/>
          <w:color w:val="auto"/>
          <w:sz w:val="48"/>
          <w:szCs w:val="48"/>
          <w:lang w:val="en-GB" w:eastAsia="en-GB"/>
        </w:rPr>
        <w:drawing>
          <wp:inline distT="0" distB="0" distL="0" distR="0" wp14:anchorId="2084D53E" wp14:editId="06887531">
            <wp:extent cx="5759450" cy="904875"/>
            <wp:effectExtent l="0" t="0" r="0" b="9525"/>
            <wp:docPr id="2" name="Picture 2"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904875"/>
                    </a:xfrm>
                    <a:prstGeom prst="rect">
                      <a:avLst/>
                    </a:prstGeom>
                  </pic:spPr>
                </pic:pic>
              </a:graphicData>
            </a:graphic>
          </wp:inline>
        </w:drawing>
      </w:r>
    </w:p>
    <w:p w14:paraId="0B127D97" w14:textId="77777777" w:rsidR="00C11AB3" w:rsidRDefault="00C11AB3" w:rsidP="00CC5193">
      <w:pPr>
        <w:pStyle w:val="TOCHeading"/>
        <w:spacing w:before="0" w:after="200"/>
        <w:jc w:val="center"/>
        <w:rPr>
          <w:rFonts w:ascii="Arial" w:eastAsiaTheme="minorHAnsi" w:hAnsi="Arial" w:cs="Arial"/>
          <w:b w:val="0"/>
          <w:color w:val="auto"/>
          <w:sz w:val="48"/>
          <w:szCs w:val="48"/>
          <w:lang w:val="en-GB" w:eastAsia="en-US"/>
        </w:rPr>
      </w:pPr>
    </w:p>
    <w:p w14:paraId="5D7347D5" w14:textId="77777777" w:rsidR="00F97826" w:rsidRPr="008744D4" w:rsidRDefault="00F97826" w:rsidP="00CC5193">
      <w:pPr>
        <w:pStyle w:val="TOCHeading"/>
        <w:spacing w:before="0" w:after="200"/>
        <w:jc w:val="center"/>
        <w:rPr>
          <w:rFonts w:ascii="Arial" w:eastAsiaTheme="minorHAnsi" w:hAnsi="Arial" w:cs="Arial"/>
          <w:b w:val="0"/>
          <w:color w:val="auto"/>
          <w:sz w:val="48"/>
          <w:szCs w:val="48"/>
          <w:lang w:val="en-GB" w:eastAsia="en-US"/>
        </w:rPr>
      </w:pPr>
      <w:r w:rsidRPr="008744D4">
        <w:rPr>
          <w:rFonts w:ascii="Arial" w:eastAsiaTheme="minorHAnsi" w:hAnsi="Arial" w:cs="Arial"/>
          <w:b w:val="0"/>
          <w:color w:val="auto"/>
          <w:sz w:val="48"/>
          <w:szCs w:val="48"/>
          <w:lang w:val="en-GB" w:eastAsia="en-US"/>
        </w:rPr>
        <w:t xml:space="preserve">Monitoring </w:t>
      </w:r>
      <w:r w:rsidR="00EC0A76">
        <w:rPr>
          <w:rFonts w:ascii="Arial" w:eastAsiaTheme="minorHAnsi" w:hAnsi="Arial" w:cs="Arial"/>
          <w:b w:val="0"/>
          <w:color w:val="auto"/>
          <w:sz w:val="48"/>
          <w:szCs w:val="48"/>
          <w:lang w:val="en-GB" w:eastAsia="en-US"/>
        </w:rPr>
        <w:t xml:space="preserve">the </w:t>
      </w:r>
      <w:r w:rsidRPr="008744D4">
        <w:rPr>
          <w:rFonts w:ascii="Arial" w:eastAsiaTheme="minorHAnsi" w:hAnsi="Arial" w:cs="Arial"/>
          <w:b w:val="0"/>
          <w:color w:val="auto"/>
          <w:sz w:val="48"/>
          <w:szCs w:val="48"/>
          <w:lang w:val="en-GB" w:eastAsia="en-US"/>
        </w:rPr>
        <w:t xml:space="preserve">Australian population’s intake of dietary iodine before and after mandatory </w:t>
      </w:r>
      <w:r w:rsidR="006147DF">
        <w:rPr>
          <w:rFonts w:ascii="Arial" w:eastAsiaTheme="minorHAnsi" w:hAnsi="Arial" w:cs="Arial"/>
          <w:b w:val="0"/>
          <w:color w:val="auto"/>
          <w:sz w:val="48"/>
          <w:szCs w:val="48"/>
          <w:lang w:val="en-GB" w:eastAsia="en-US"/>
        </w:rPr>
        <w:t>fortification</w:t>
      </w:r>
      <w:r w:rsidRPr="008744D4">
        <w:rPr>
          <w:rFonts w:ascii="Arial" w:eastAsiaTheme="minorHAnsi" w:hAnsi="Arial" w:cs="Arial"/>
          <w:b w:val="0"/>
          <w:color w:val="auto"/>
          <w:sz w:val="48"/>
          <w:szCs w:val="48"/>
          <w:lang w:val="en-GB" w:eastAsia="en-US"/>
        </w:rPr>
        <w:t xml:space="preserve"> </w:t>
      </w:r>
    </w:p>
    <w:p w14:paraId="5D7347D6" w14:textId="77777777" w:rsidR="006E3E3E" w:rsidRPr="00314FF9" w:rsidRDefault="006E3E3E" w:rsidP="00CC5193">
      <w:pPr>
        <w:pStyle w:val="TOCHeading"/>
        <w:spacing w:before="0" w:after="200"/>
        <w:rPr>
          <w:rFonts w:ascii="Arial" w:eastAsiaTheme="minorHAnsi" w:hAnsi="Arial" w:cs="Arial"/>
          <w:b w:val="0"/>
          <w:color w:val="auto"/>
          <w:sz w:val="40"/>
          <w:szCs w:val="40"/>
          <w:lang w:val="en-GB" w:eastAsia="en-US"/>
        </w:rPr>
      </w:pPr>
    </w:p>
    <w:p w14:paraId="5D7347D7" w14:textId="77777777" w:rsidR="006E3E3E" w:rsidRPr="001D270F" w:rsidRDefault="006E3E3E" w:rsidP="00CC5193">
      <w:pPr>
        <w:pStyle w:val="TOCHeading"/>
        <w:spacing w:before="0" w:after="200"/>
        <w:rPr>
          <w:rFonts w:ascii="Arial" w:eastAsiaTheme="minorHAnsi" w:hAnsi="Arial" w:cs="Arial"/>
          <w:b w:val="0"/>
          <w:color w:val="auto"/>
          <w:sz w:val="40"/>
          <w:szCs w:val="40"/>
          <w:lang w:val="en-GB" w:eastAsia="en-US"/>
        </w:rPr>
      </w:pPr>
    </w:p>
    <w:p w14:paraId="5D7347D8" w14:textId="77777777" w:rsidR="00314FF9" w:rsidRDefault="00F97826" w:rsidP="00CC5193">
      <w:pPr>
        <w:pStyle w:val="TOCHeading"/>
        <w:spacing w:before="0" w:after="200"/>
        <w:rPr>
          <w:rFonts w:ascii="Arial" w:eastAsiaTheme="minorHAnsi" w:hAnsi="Arial" w:cs="Arial"/>
          <w:color w:val="auto"/>
          <w:sz w:val="40"/>
          <w:szCs w:val="40"/>
          <w:lang w:val="en-GB" w:eastAsia="en-US"/>
        </w:rPr>
      </w:pPr>
      <w:r w:rsidRPr="00314FF9">
        <w:rPr>
          <w:rFonts w:ascii="Arial" w:eastAsiaTheme="minorHAnsi" w:hAnsi="Arial" w:cs="Arial"/>
          <w:b w:val="0"/>
          <w:color w:val="auto"/>
          <w:sz w:val="40"/>
          <w:szCs w:val="40"/>
          <w:lang w:val="en-GB" w:eastAsia="en-US"/>
        </w:rPr>
        <w:t xml:space="preserve">Report </w:t>
      </w:r>
      <w:r w:rsidR="008744D4" w:rsidRPr="00314FF9">
        <w:rPr>
          <w:rFonts w:ascii="Arial" w:eastAsiaTheme="minorHAnsi" w:hAnsi="Arial" w:cs="Arial"/>
          <w:b w:val="0"/>
          <w:color w:val="auto"/>
          <w:sz w:val="40"/>
          <w:szCs w:val="40"/>
          <w:lang w:val="en-GB" w:eastAsia="en-US"/>
        </w:rPr>
        <w:t xml:space="preserve">by Food Standards Australia </w:t>
      </w:r>
      <w:r w:rsidRPr="00314FF9">
        <w:rPr>
          <w:rFonts w:ascii="Arial" w:eastAsiaTheme="minorHAnsi" w:hAnsi="Arial" w:cs="Arial"/>
          <w:b w:val="0"/>
          <w:color w:val="auto"/>
          <w:sz w:val="40"/>
          <w:szCs w:val="40"/>
          <w:lang w:val="en-GB" w:eastAsia="en-US"/>
        </w:rPr>
        <w:t>New Zealand</w:t>
      </w:r>
    </w:p>
    <w:p w14:paraId="5D7347D9" w14:textId="77777777" w:rsidR="00C5051A" w:rsidRPr="00314FF9" w:rsidRDefault="00314FF9" w:rsidP="00314FF9">
      <w:pPr>
        <w:pStyle w:val="TOCHeading"/>
        <w:spacing w:before="0" w:after="200"/>
        <w:jc w:val="center"/>
        <w:rPr>
          <w:rFonts w:ascii="Arial" w:eastAsiaTheme="minorHAnsi" w:hAnsi="Arial" w:cs="Arial"/>
          <w:b w:val="0"/>
          <w:color w:val="auto"/>
          <w:sz w:val="40"/>
          <w:szCs w:val="40"/>
          <w:lang w:val="en-GB" w:eastAsia="en-US"/>
        </w:rPr>
      </w:pPr>
      <w:r w:rsidRPr="00314FF9">
        <w:rPr>
          <w:rFonts w:ascii="Arial" w:eastAsiaTheme="minorHAnsi" w:hAnsi="Arial" w:cs="Arial"/>
          <w:b w:val="0"/>
          <w:color w:val="auto"/>
          <w:sz w:val="40"/>
          <w:szCs w:val="40"/>
          <w:lang w:val="en-GB" w:eastAsia="en-US"/>
        </w:rPr>
        <w:t>(FSANZ)</w:t>
      </w:r>
    </w:p>
    <w:p w14:paraId="5D7347DA" w14:textId="77777777" w:rsidR="006147DF" w:rsidRDefault="006147DF" w:rsidP="00CC5193">
      <w:pPr>
        <w:pStyle w:val="TOCHeading"/>
        <w:spacing w:before="0" w:after="200"/>
        <w:jc w:val="center"/>
        <w:rPr>
          <w:rFonts w:ascii="Arial" w:eastAsiaTheme="minorHAnsi" w:hAnsi="Arial" w:cs="Arial"/>
          <w:color w:val="auto"/>
          <w:sz w:val="40"/>
          <w:szCs w:val="40"/>
          <w:lang w:val="en-GB" w:eastAsia="en-US"/>
        </w:rPr>
      </w:pPr>
    </w:p>
    <w:p w14:paraId="5D7347DB" w14:textId="77777777" w:rsidR="00314FF9" w:rsidRDefault="00314FF9" w:rsidP="00314FF9">
      <w:pPr>
        <w:pStyle w:val="TOCHeading"/>
        <w:spacing w:before="0" w:after="200"/>
        <w:rPr>
          <w:rFonts w:ascii="Arial" w:eastAsiaTheme="minorHAnsi" w:hAnsi="Arial" w:cs="Arial"/>
          <w:color w:val="auto"/>
          <w:sz w:val="40"/>
          <w:szCs w:val="40"/>
          <w:lang w:val="en-GB" w:eastAsia="en-US"/>
        </w:rPr>
      </w:pPr>
    </w:p>
    <w:p w14:paraId="5D7347DC" w14:textId="0FBF5183" w:rsidR="00F97826" w:rsidRPr="00314FF9" w:rsidRDefault="00C11AB3" w:rsidP="00CC5193">
      <w:pPr>
        <w:pStyle w:val="TOCHeading"/>
        <w:spacing w:before="0" w:after="200"/>
        <w:jc w:val="center"/>
        <w:rPr>
          <w:rFonts w:ascii="Arial" w:eastAsiaTheme="minorHAnsi" w:hAnsi="Arial" w:cs="Arial"/>
          <w:b w:val="0"/>
          <w:color w:val="auto"/>
          <w:sz w:val="40"/>
          <w:szCs w:val="40"/>
          <w:lang w:val="en-GB" w:eastAsia="en-US"/>
        </w:rPr>
      </w:pPr>
      <w:r>
        <w:rPr>
          <w:rFonts w:ascii="Arial" w:eastAsiaTheme="minorHAnsi" w:hAnsi="Arial" w:cs="Arial"/>
          <w:b w:val="0"/>
          <w:color w:val="auto"/>
          <w:sz w:val="40"/>
          <w:szCs w:val="40"/>
          <w:lang w:val="en-GB" w:eastAsia="en-US"/>
        </w:rPr>
        <w:t>June 2016</w:t>
      </w:r>
    </w:p>
    <w:p w14:paraId="5D7347DD" w14:textId="77777777" w:rsidR="00F97826" w:rsidRPr="00F97826" w:rsidRDefault="00F97826" w:rsidP="00CC5193">
      <w:pPr>
        <w:rPr>
          <w:rFonts w:ascii="Arial" w:hAnsi="Arial" w:cs="Arial"/>
        </w:rPr>
      </w:pPr>
      <w:r w:rsidRPr="00F97826">
        <w:rPr>
          <w:rFonts w:ascii="Arial" w:hAnsi="Arial" w:cs="Arial"/>
        </w:rPr>
        <w:br w:type="page"/>
      </w:r>
    </w:p>
    <w:sdt>
      <w:sdtPr>
        <w:rPr>
          <w:rFonts w:ascii="Arial" w:eastAsiaTheme="minorHAnsi" w:hAnsi="Arial" w:cs="Arial"/>
          <w:b w:val="0"/>
          <w:bCs w:val="0"/>
          <w:color w:val="auto"/>
          <w:sz w:val="24"/>
          <w:szCs w:val="22"/>
          <w:lang w:val="en-GB" w:eastAsia="en-US"/>
        </w:rPr>
        <w:id w:val="-1857184479"/>
        <w:docPartObj>
          <w:docPartGallery w:val="Table of Contents"/>
          <w:docPartUnique/>
        </w:docPartObj>
      </w:sdtPr>
      <w:sdtEndPr>
        <w:rPr>
          <w:noProof/>
          <w:szCs w:val="24"/>
        </w:rPr>
      </w:sdtEndPr>
      <w:sdtContent>
        <w:p w14:paraId="5D7347DE" w14:textId="77777777" w:rsidR="00CA2AD9" w:rsidRPr="00980D16" w:rsidRDefault="00531E5D" w:rsidP="00634122">
          <w:pPr>
            <w:pStyle w:val="TOCHeading"/>
            <w:spacing w:before="0" w:after="200"/>
            <w:jc w:val="center"/>
            <w:rPr>
              <w:rFonts w:ascii="Arial" w:hAnsi="Arial" w:cs="Arial"/>
              <w:color w:val="auto"/>
              <w:sz w:val="24"/>
              <w:szCs w:val="24"/>
            </w:rPr>
          </w:pPr>
          <w:r w:rsidRPr="00980D16">
            <w:rPr>
              <w:rFonts w:ascii="Arial" w:eastAsiaTheme="minorHAnsi" w:hAnsi="Arial" w:cs="Arial"/>
              <w:bCs w:val="0"/>
              <w:color w:val="auto"/>
              <w:sz w:val="24"/>
              <w:szCs w:val="24"/>
              <w:lang w:val="en-GB" w:eastAsia="en-US"/>
            </w:rPr>
            <w:t xml:space="preserve">Table of </w:t>
          </w:r>
          <w:r w:rsidR="00CA2AD9" w:rsidRPr="00980D16">
            <w:rPr>
              <w:rFonts w:ascii="Arial" w:hAnsi="Arial" w:cs="Arial"/>
              <w:color w:val="auto"/>
              <w:sz w:val="24"/>
              <w:szCs w:val="24"/>
            </w:rPr>
            <w:t>Contents</w:t>
          </w:r>
        </w:p>
        <w:p w14:paraId="503FBAF1" w14:textId="77777777" w:rsidR="00B919E0" w:rsidRPr="005445C2" w:rsidRDefault="00CA2AD9">
          <w:pPr>
            <w:pStyle w:val="TOC1"/>
            <w:tabs>
              <w:tab w:val="right" w:pos="9060"/>
            </w:tabs>
            <w:rPr>
              <w:rFonts w:ascii="Arial" w:eastAsiaTheme="minorEastAsia" w:hAnsi="Arial" w:cs="Arial"/>
              <w:noProof/>
              <w:sz w:val="22"/>
              <w:lang w:eastAsia="en-GB"/>
            </w:rPr>
          </w:pPr>
          <w:r w:rsidRPr="005445C2">
            <w:rPr>
              <w:rFonts w:ascii="Arial" w:hAnsi="Arial" w:cs="Arial"/>
              <w:szCs w:val="24"/>
            </w:rPr>
            <w:fldChar w:fldCharType="begin"/>
          </w:r>
          <w:r w:rsidRPr="005445C2">
            <w:rPr>
              <w:rFonts w:ascii="Arial" w:hAnsi="Arial" w:cs="Arial"/>
              <w:szCs w:val="24"/>
            </w:rPr>
            <w:instrText xml:space="preserve"> TOC \o "1-3" \h \z \u </w:instrText>
          </w:r>
          <w:r w:rsidRPr="005445C2">
            <w:rPr>
              <w:rFonts w:ascii="Arial" w:hAnsi="Arial" w:cs="Arial"/>
              <w:szCs w:val="24"/>
            </w:rPr>
            <w:fldChar w:fldCharType="separate"/>
          </w:r>
          <w:hyperlink w:anchor="_Toc430854491" w:history="1">
            <w:r w:rsidR="00B919E0" w:rsidRPr="005445C2">
              <w:rPr>
                <w:rStyle w:val="Hyperlink"/>
                <w:rFonts w:ascii="Arial" w:hAnsi="Arial" w:cs="Arial"/>
                <w:noProof/>
              </w:rPr>
              <w:t>Executive Summary</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_Toc430854491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3</w:t>
            </w:r>
            <w:r w:rsidR="00B919E0" w:rsidRPr="005445C2">
              <w:rPr>
                <w:rFonts w:ascii="Arial" w:hAnsi="Arial" w:cs="Arial"/>
                <w:noProof/>
                <w:webHidden/>
              </w:rPr>
              <w:fldChar w:fldCharType="end"/>
            </w:r>
          </w:hyperlink>
        </w:p>
        <w:p w14:paraId="37F37D67"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492" w:history="1">
            <w:r w:rsidR="00B919E0" w:rsidRPr="005445C2">
              <w:rPr>
                <w:rStyle w:val="Hyperlink"/>
                <w:rFonts w:ascii="Arial" w:hAnsi="Arial" w:cs="Arial"/>
                <w:noProof/>
              </w:rPr>
              <w:t>1.0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Introduction</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_Toc430854492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4</w:t>
            </w:r>
            <w:r w:rsidR="00B919E0" w:rsidRPr="005445C2">
              <w:rPr>
                <w:rFonts w:ascii="Arial" w:hAnsi="Arial" w:cs="Arial"/>
                <w:noProof/>
                <w:webHidden/>
              </w:rPr>
              <w:fldChar w:fldCharType="end"/>
            </w:r>
          </w:hyperlink>
        </w:p>
        <w:p w14:paraId="131EA7B2"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493" w:history="1">
            <w:r w:rsidR="00B919E0" w:rsidRPr="005445C2">
              <w:rPr>
                <w:rStyle w:val="Hyperlink"/>
                <w:rFonts w:ascii="Arial" w:hAnsi="Arial" w:cs="Arial"/>
                <w:noProof/>
              </w:rPr>
              <w:t>2.0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Background to development of the iodine fortification standard</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_Toc430854493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5</w:t>
            </w:r>
            <w:r w:rsidR="00B919E0" w:rsidRPr="005445C2">
              <w:rPr>
                <w:rFonts w:ascii="Arial" w:hAnsi="Arial" w:cs="Arial"/>
                <w:noProof/>
                <w:webHidden/>
              </w:rPr>
              <w:fldChar w:fldCharType="end"/>
            </w:r>
          </w:hyperlink>
        </w:p>
        <w:p w14:paraId="1A1411E3"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494" w:history="1">
            <w:r w:rsidR="00B919E0" w:rsidRPr="005445C2">
              <w:rPr>
                <w:rStyle w:val="Hyperlink"/>
                <w:rFonts w:ascii="Arial" w:hAnsi="Arial" w:cs="Arial"/>
                <w:noProof/>
              </w:rPr>
              <w:t>3.0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FSANZ’s bread surveys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_Toc430854494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5</w:t>
            </w:r>
            <w:r w:rsidR="00B919E0" w:rsidRPr="005445C2">
              <w:rPr>
                <w:rFonts w:ascii="Arial" w:hAnsi="Arial" w:cs="Arial"/>
                <w:noProof/>
                <w:webHidden/>
              </w:rPr>
              <w:fldChar w:fldCharType="end"/>
            </w:r>
          </w:hyperlink>
        </w:p>
        <w:p w14:paraId="0EFEEA1D"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495" w:history="1">
            <w:r w:rsidR="00B919E0" w:rsidRPr="005445C2">
              <w:rPr>
                <w:rStyle w:val="Hyperlink"/>
                <w:rFonts w:ascii="Arial" w:hAnsi="Arial" w:cs="Arial"/>
                <w:noProof/>
              </w:rPr>
              <w:t>3.1</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Survey Methodology</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_Toc430854495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6</w:t>
            </w:r>
            <w:r w:rsidR="00B919E0" w:rsidRPr="005445C2">
              <w:rPr>
                <w:rFonts w:ascii="Arial" w:hAnsi="Arial" w:cs="Arial"/>
                <w:noProof/>
                <w:webHidden/>
              </w:rPr>
              <w:fldChar w:fldCharType="end"/>
            </w:r>
          </w:hyperlink>
        </w:p>
        <w:p w14:paraId="64681A4C" w14:textId="77777777" w:rsidR="00B919E0" w:rsidRPr="005445C2" w:rsidRDefault="001E1660">
          <w:pPr>
            <w:pStyle w:val="TOC3"/>
            <w:rPr>
              <w:rFonts w:eastAsiaTheme="minorEastAsia"/>
              <w:i w:val="0"/>
              <w:lang w:eastAsia="en-GB"/>
            </w:rPr>
          </w:pPr>
          <w:hyperlink w:anchor="_Toc430854496" w:history="1">
            <w:r w:rsidR="00B919E0" w:rsidRPr="005445C2">
              <w:rPr>
                <w:rStyle w:val="Hyperlink"/>
              </w:rPr>
              <w:t>3.1.1</w:t>
            </w:r>
            <w:r w:rsidR="00B919E0" w:rsidRPr="005445C2">
              <w:rPr>
                <w:rFonts w:eastAsiaTheme="minorEastAsia"/>
                <w:i w:val="0"/>
                <w:lang w:eastAsia="en-GB"/>
              </w:rPr>
              <w:tab/>
            </w:r>
            <w:r w:rsidR="00B919E0" w:rsidRPr="005445C2">
              <w:rPr>
                <w:rStyle w:val="Hyperlink"/>
              </w:rPr>
              <w:t>General sampling protocol</w:t>
            </w:r>
            <w:r w:rsidR="00B919E0" w:rsidRPr="005445C2">
              <w:rPr>
                <w:webHidden/>
              </w:rPr>
              <w:tab/>
            </w:r>
            <w:r w:rsidR="00B919E0" w:rsidRPr="005445C2">
              <w:rPr>
                <w:webHidden/>
              </w:rPr>
              <w:fldChar w:fldCharType="begin"/>
            </w:r>
            <w:r w:rsidR="00B919E0" w:rsidRPr="005445C2">
              <w:rPr>
                <w:webHidden/>
              </w:rPr>
              <w:instrText xml:space="preserve"> PAGEREF _Toc430854496 \h </w:instrText>
            </w:r>
            <w:r w:rsidR="00B919E0" w:rsidRPr="005445C2">
              <w:rPr>
                <w:webHidden/>
              </w:rPr>
            </w:r>
            <w:r w:rsidR="00B919E0" w:rsidRPr="005445C2">
              <w:rPr>
                <w:webHidden/>
              </w:rPr>
              <w:fldChar w:fldCharType="separate"/>
            </w:r>
            <w:r w:rsidR="00A41217">
              <w:rPr>
                <w:webHidden/>
              </w:rPr>
              <w:t>6</w:t>
            </w:r>
            <w:r w:rsidR="00B919E0" w:rsidRPr="005445C2">
              <w:rPr>
                <w:webHidden/>
              </w:rPr>
              <w:fldChar w:fldCharType="end"/>
            </w:r>
          </w:hyperlink>
        </w:p>
        <w:p w14:paraId="08C5C58E" w14:textId="77777777" w:rsidR="00B919E0" w:rsidRPr="005445C2" w:rsidRDefault="001E1660">
          <w:pPr>
            <w:pStyle w:val="TOC3"/>
            <w:rPr>
              <w:rFonts w:eastAsiaTheme="minorEastAsia"/>
              <w:i w:val="0"/>
              <w:lang w:eastAsia="en-GB"/>
            </w:rPr>
          </w:pPr>
          <w:hyperlink w:anchor="_Toc430854497" w:history="1">
            <w:r w:rsidR="00B919E0" w:rsidRPr="005445C2">
              <w:rPr>
                <w:rStyle w:val="Hyperlink"/>
              </w:rPr>
              <w:t>3.1.2</w:t>
            </w:r>
            <w:r w:rsidR="00B919E0" w:rsidRPr="005445C2">
              <w:rPr>
                <w:rFonts w:eastAsiaTheme="minorEastAsia"/>
                <w:i w:val="0"/>
                <w:lang w:eastAsia="en-GB"/>
              </w:rPr>
              <w:tab/>
            </w:r>
            <w:r w:rsidR="00B919E0" w:rsidRPr="005445C2">
              <w:rPr>
                <w:rStyle w:val="Hyperlink"/>
              </w:rPr>
              <w:t>Phase 1 sampling</w:t>
            </w:r>
            <w:r w:rsidR="00B919E0" w:rsidRPr="005445C2">
              <w:rPr>
                <w:webHidden/>
              </w:rPr>
              <w:tab/>
            </w:r>
            <w:r w:rsidR="00B919E0" w:rsidRPr="005445C2">
              <w:rPr>
                <w:webHidden/>
              </w:rPr>
              <w:fldChar w:fldCharType="begin"/>
            </w:r>
            <w:r w:rsidR="00B919E0" w:rsidRPr="005445C2">
              <w:rPr>
                <w:webHidden/>
              </w:rPr>
              <w:instrText xml:space="preserve"> PAGEREF _Toc430854497 \h </w:instrText>
            </w:r>
            <w:r w:rsidR="00B919E0" w:rsidRPr="005445C2">
              <w:rPr>
                <w:webHidden/>
              </w:rPr>
            </w:r>
            <w:r w:rsidR="00B919E0" w:rsidRPr="005445C2">
              <w:rPr>
                <w:webHidden/>
              </w:rPr>
              <w:fldChar w:fldCharType="separate"/>
            </w:r>
            <w:r w:rsidR="00A41217">
              <w:rPr>
                <w:webHidden/>
              </w:rPr>
              <w:t>7</w:t>
            </w:r>
            <w:r w:rsidR="00B919E0" w:rsidRPr="005445C2">
              <w:rPr>
                <w:webHidden/>
              </w:rPr>
              <w:fldChar w:fldCharType="end"/>
            </w:r>
          </w:hyperlink>
        </w:p>
        <w:p w14:paraId="26389A4D" w14:textId="77777777" w:rsidR="00B919E0" w:rsidRPr="005445C2" w:rsidRDefault="001E1660">
          <w:pPr>
            <w:pStyle w:val="TOC3"/>
            <w:rPr>
              <w:rFonts w:eastAsiaTheme="minorEastAsia"/>
              <w:i w:val="0"/>
              <w:lang w:eastAsia="en-GB"/>
            </w:rPr>
          </w:pPr>
          <w:hyperlink w:anchor="_Toc430854498" w:history="1">
            <w:r w:rsidR="00B919E0" w:rsidRPr="005445C2">
              <w:rPr>
                <w:rStyle w:val="Hyperlink"/>
              </w:rPr>
              <w:t>3.1.3</w:t>
            </w:r>
            <w:r w:rsidR="00B919E0" w:rsidRPr="005445C2">
              <w:rPr>
                <w:rFonts w:eastAsiaTheme="minorEastAsia"/>
                <w:i w:val="0"/>
                <w:lang w:eastAsia="en-GB"/>
              </w:rPr>
              <w:tab/>
            </w:r>
            <w:r w:rsidR="00B919E0" w:rsidRPr="005445C2">
              <w:rPr>
                <w:rStyle w:val="Hyperlink"/>
              </w:rPr>
              <w:t>Phase 2 sampling</w:t>
            </w:r>
            <w:r w:rsidR="00B919E0" w:rsidRPr="005445C2">
              <w:rPr>
                <w:webHidden/>
              </w:rPr>
              <w:tab/>
            </w:r>
            <w:r w:rsidR="00B919E0" w:rsidRPr="005445C2">
              <w:rPr>
                <w:webHidden/>
              </w:rPr>
              <w:fldChar w:fldCharType="begin"/>
            </w:r>
            <w:r w:rsidR="00B919E0" w:rsidRPr="005445C2">
              <w:rPr>
                <w:webHidden/>
              </w:rPr>
              <w:instrText xml:space="preserve"> PAGEREF _Toc430854498 \h </w:instrText>
            </w:r>
            <w:r w:rsidR="00B919E0" w:rsidRPr="005445C2">
              <w:rPr>
                <w:webHidden/>
              </w:rPr>
            </w:r>
            <w:r w:rsidR="00B919E0" w:rsidRPr="005445C2">
              <w:rPr>
                <w:webHidden/>
              </w:rPr>
              <w:fldChar w:fldCharType="separate"/>
            </w:r>
            <w:r w:rsidR="00A41217">
              <w:rPr>
                <w:webHidden/>
              </w:rPr>
              <w:t>7</w:t>
            </w:r>
            <w:r w:rsidR="00B919E0" w:rsidRPr="005445C2">
              <w:rPr>
                <w:webHidden/>
              </w:rPr>
              <w:fldChar w:fldCharType="end"/>
            </w:r>
          </w:hyperlink>
        </w:p>
        <w:p w14:paraId="64843AE9" w14:textId="77777777" w:rsidR="00B919E0" w:rsidRPr="005445C2" w:rsidRDefault="001E1660">
          <w:pPr>
            <w:pStyle w:val="TOC3"/>
            <w:rPr>
              <w:rFonts w:eastAsiaTheme="minorEastAsia"/>
              <w:i w:val="0"/>
              <w:lang w:eastAsia="en-GB"/>
            </w:rPr>
          </w:pPr>
          <w:hyperlink w:anchor="_Toc430854499" w:history="1">
            <w:r w:rsidR="00B919E0" w:rsidRPr="005445C2">
              <w:rPr>
                <w:rStyle w:val="Hyperlink"/>
              </w:rPr>
              <w:t>3.1.4</w:t>
            </w:r>
            <w:r w:rsidR="00B919E0" w:rsidRPr="005445C2">
              <w:rPr>
                <w:rFonts w:eastAsiaTheme="minorEastAsia"/>
                <w:i w:val="0"/>
                <w:lang w:eastAsia="en-GB"/>
              </w:rPr>
              <w:tab/>
            </w:r>
            <w:r w:rsidR="00B919E0" w:rsidRPr="005445C2">
              <w:rPr>
                <w:rStyle w:val="Hyperlink"/>
              </w:rPr>
              <w:t>Phase 3 sampling</w:t>
            </w:r>
            <w:r w:rsidR="00B919E0" w:rsidRPr="005445C2">
              <w:rPr>
                <w:webHidden/>
              </w:rPr>
              <w:tab/>
            </w:r>
            <w:r w:rsidR="00B919E0" w:rsidRPr="005445C2">
              <w:rPr>
                <w:webHidden/>
              </w:rPr>
              <w:fldChar w:fldCharType="begin"/>
            </w:r>
            <w:r w:rsidR="00B919E0" w:rsidRPr="005445C2">
              <w:rPr>
                <w:webHidden/>
              </w:rPr>
              <w:instrText xml:space="preserve"> PAGEREF _Toc430854499 \h </w:instrText>
            </w:r>
            <w:r w:rsidR="00B919E0" w:rsidRPr="005445C2">
              <w:rPr>
                <w:webHidden/>
              </w:rPr>
            </w:r>
            <w:r w:rsidR="00B919E0" w:rsidRPr="005445C2">
              <w:rPr>
                <w:webHidden/>
              </w:rPr>
              <w:fldChar w:fldCharType="separate"/>
            </w:r>
            <w:r w:rsidR="00A41217">
              <w:rPr>
                <w:webHidden/>
              </w:rPr>
              <w:t>8</w:t>
            </w:r>
            <w:r w:rsidR="00B919E0" w:rsidRPr="005445C2">
              <w:rPr>
                <w:webHidden/>
              </w:rPr>
              <w:fldChar w:fldCharType="end"/>
            </w:r>
          </w:hyperlink>
        </w:p>
        <w:p w14:paraId="3FD4ECAA"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00" w:history="1">
            <w:r w:rsidR="00B919E0" w:rsidRPr="005445C2">
              <w:rPr>
                <w:rStyle w:val="Hyperlink"/>
                <w:rFonts w:ascii="Arial" w:hAnsi="Arial" w:cs="Arial"/>
                <w:noProof/>
              </w:rPr>
              <w:t>4.0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Sample preparation and analysis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_Toc430854500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8</w:t>
            </w:r>
            <w:r w:rsidR="00B919E0" w:rsidRPr="005445C2">
              <w:rPr>
                <w:rFonts w:ascii="Arial" w:hAnsi="Arial" w:cs="Arial"/>
                <w:noProof/>
                <w:webHidden/>
              </w:rPr>
              <w:fldChar w:fldCharType="end"/>
            </w:r>
          </w:hyperlink>
        </w:p>
        <w:p w14:paraId="6687FE70"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01" w:history="1">
            <w:r w:rsidR="00B919E0" w:rsidRPr="005445C2">
              <w:rPr>
                <w:rStyle w:val="Hyperlink"/>
                <w:rFonts w:ascii="Arial" w:hAnsi="Arial" w:cs="Arial"/>
                <w:noProof/>
              </w:rPr>
              <w:t>4.1</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Analytical method used</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_Toc430854501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8</w:t>
            </w:r>
            <w:r w:rsidR="00B919E0" w:rsidRPr="005445C2">
              <w:rPr>
                <w:rFonts w:ascii="Arial" w:hAnsi="Arial" w:cs="Arial"/>
                <w:noProof/>
                <w:webHidden/>
              </w:rPr>
              <w:fldChar w:fldCharType="end"/>
            </w:r>
          </w:hyperlink>
        </w:p>
        <w:p w14:paraId="0A38EFE0"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02" w:history="1">
            <w:r w:rsidR="00B919E0" w:rsidRPr="005445C2">
              <w:rPr>
                <w:rStyle w:val="Hyperlink"/>
                <w:rFonts w:ascii="Arial" w:hAnsi="Arial" w:cs="Arial"/>
                <w:noProof/>
              </w:rPr>
              <w:t>5.0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Survey results – Post-fortification amounts of iodine in breads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_Toc430854502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9</w:t>
            </w:r>
            <w:r w:rsidR="00B919E0" w:rsidRPr="005445C2">
              <w:rPr>
                <w:rFonts w:ascii="Arial" w:hAnsi="Arial" w:cs="Arial"/>
                <w:noProof/>
                <w:webHidden/>
              </w:rPr>
              <w:fldChar w:fldCharType="end"/>
            </w:r>
          </w:hyperlink>
        </w:p>
        <w:p w14:paraId="4557080A"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03" w:history="1">
            <w:r w:rsidR="00B919E0" w:rsidRPr="005445C2">
              <w:rPr>
                <w:rStyle w:val="Hyperlink"/>
                <w:rFonts w:ascii="Arial" w:hAnsi="Arial" w:cs="Arial"/>
                <w:noProof/>
              </w:rPr>
              <w:t>5.1</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Summary of results from the surveys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_Toc430854503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10</w:t>
            </w:r>
            <w:r w:rsidR="00B919E0" w:rsidRPr="005445C2">
              <w:rPr>
                <w:rFonts w:ascii="Arial" w:hAnsi="Arial" w:cs="Arial"/>
                <w:noProof/>
                <w:webHidden/>
              </w:rPr>
              <w:fldChar w:fldCharType="end"/>
            </w:r>
          </w:hyperlink>
        </w:p>
        <w:p w14:paraId="36DC5328"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04" w:history="1">
            <w:r w:rsidR="00B919E0" w:rsidRPr="005445C2">
              <w:rPr>
                <w:rStyle w:val="Hyperlink"/>
                <w:rFonts w:ascii="Arial" w:hAnsi="Arial" w:cs="Arial"/>
                <w:noProof/>
              </w:rPr>
              <w:t>6.0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Estimated usual intake of dietary iodine</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_Toc430854504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10</w:t>
            </w:r>
            <w:r w:rsidR="00B919E0" w:rsidRPr="005445C2">
              <w:rPr>
                <w:rFonts w:ascii="Arial" w:hAnsi="Arial" w:cs="Arial"/>
                <w:noProof/>
                <w:webHidden/>
              </w:rPr>
              <w:fldChar w:fldCharType="end"/>
            </w:r>
          </w:hyperlink>
        </w:p>
        <w:p w14:paraId="3D6EF21C"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05" w:history="1">
            <w:r w:rsidR="00B919E0" w:rsidRPr="005445C2">
              <w:rPr>
                <w:rStyle w:val="Hyperlink"/>
                <w:rFonts w:ascii="Arial" w:hAnsi="Arial" w:cs="Arial"/>
                <w:noProof/>
              </w:rPr>
              <w:t>6.1</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Methodology</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_Toc430854505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11</w:t>
            </w:r>
            <w:r w:rsidR="00B919E0" w:rsidRPr="005445C2">
              <w:rPr>
                <w:rFonts w:ascii="Arial" w:hAnsi="Arial" w:cs="Arial"/>
                <w:noProof/>
                <w:webHidden/>
              </w:rPr>
              <w:fldChar w:fldCharType="end"/>
            </w:r>
          </w:hyperlink>
        </w:p>
        <w:p w14:paraId="644AE813" w14:textId="77777777" w:rsidR="00B919E0" w:rsidRPr="005445C2" w:rsidRDefault="001E1660">
          <w:pPr>
            <w:pStyle w:val="TOC3"/>
            <w:rPr>
              <w:rFonts w:eastAsiaTheme="minorEastAsia"/>
              <w:i w:val="0"/>
              <w:lang w:eastAsia="en-GB"/>
            </w:rPr>
          </w:pPr>
          <w:hyperlink w:anchor="_Toc430854506" w:history="1">
            <w:r w:rsidR="00B919E0" w:rsidRPr="005445C2">
              <w:rPr>
                <w:rStyle w:val="Hyperlink"/>
              </w:rPr>
              <w:t>6.1.1</w:t>
            </w:r>
            <w:r w:rsidR="00B919E0" w:rsidRPr="005445C2">
              <w:rPr>
                <w:rFonts w:eastAsiaTheme="minorEastAsia"/>
                <w:i w:val="0"/>
                <w:lang w:eastAsia="en-GB"/>
              </w:rPr>
              <w:tab/>
            </w:r>
            <w:r w:rsidR="00B919E0" w:rsidRPr="005445C2">
              <w:rPr>
                <w:rStyle w:val="Hyperlink"/>
              </w:rPr>
              <w:t>Calculations required to estimate iodine intakes</w:t>
            </w:r>
            <w:r w:rsidR="00B919E0" w:rsidRPr="005445C2">
              <w:rPr>
                <w:webHidden/>
              </w:rPr>
              <w:tab/>
            </w:r>
            <w:r w:rsidR="00B919E0" w:rsidRPr="005445C2">
              <w:rPr>
                <w:webHidden/>
              </w:rPr>
              <w:fldChar w:fldCharType="begin"/>
            </w:r>
            <w:r w:rsidR="00B919E0" w:rsidRPr="005445C2">
              <w:rPr>
                <w:webHidden/>
              </w:rPr>
              <w:instrText xml:space="preserve"> PAGEREF _Toc430854506 \h </w:instrText>
            </w:r>
            <w:r w:rsidR="00B919E0" w:rsidRPr="005445C2">
              <w:rPr>
                <w:webHidden/>
              </w:rPr>
            </w:r>
            <w:r w:rsidR="00B919E0" w:rsidRPr="005445C2">
              <w:rPr>
                <w:webHidden/>
              </w:rPr>
              <w:fldChar w:fldCharType="separate"/>
            </w:r>
            <w:r w:rsidR="00A41217">
              <w:rPr>
                <w:webHidden/>
              </w:rPr>
              <w:t>11</w:t>
            </w:r>
            <w:r w:rsidR="00B919E0" w:rsidRPr="005445C2">
              <w:rPr>
                <w:webHidden/>
              </w:rPr>
              <w:fldChar w:fldCharType="end"/>
            </w:r>
          </w:hyperlink>
        </w:p>
        <w:p w14:paraId="28B5FAD1" w14:textId="31160BA5" w:rsidR="00B919E0" w:rsidRPr="005445C2" w:rsidRDefault="001E1660">
          <w:pPr>
            <w:pStyle w:val="TOC3"/>
            <w:rPr>
              <w:rFonts w:eastAsiaTheme="minorEastAsia"/>
              <w:i w:val="0"/>
              <w:lang w:eastAsia="en-GB"/>
            </w:rPr>
          </w:pPr>
          <w:hyperlink w:anchor="_Toc430854507" w:history="1">
            <w:r w:rsidR="00B919E0" w:rsidRPr="005445C2">
              <w:rPr>
                <w:rStyle w:val="Hyperlink"/>
              </w:rPr>
              <w:t xml:space="preserve">6.1.2 </w:t>
            </w:r>
            <w:r w:rsidR="005445C2" w:rsidRPr="005445C2">
              <w:rPr>
                <w:rStyle w:val="Hyperlink"/>
              </w:rPr>
              <w:tab/>
            </w:r>
            <w:r w:rsidR="00B919E0" w:rsidRPr="005445C2">
              <w:rPr>
                <w:rStyle w:val="Hyperlink"/>
              </w:rPr>
              <w:t>Australian Health Survey Data</w:t>
            </w:r>
            <w:r w:rsidR="00B919E0" w:rsidRPr="005445C2">
              <w:rPr>
                <w:webHidden/>
              </w:rPr>
              <w:tab/>
            </w:r>
            <w:r w:rsidR="00B919E0" w:rsidRPr="005445C2">
              <w:rPr>
                <w:webHidden/>
              </w:rPr>
              <w:fldChar w:fldCharType="begin"/>
            </w:r>
            <w:r w:rsidR="00B919E0" w:rsidRPr="005445C2">
              <w:rPr>
                <w:webHidden/>
              </w:rPr>
              <w:instrText xml:space="preserve"> PAGEREF _Toc430854507 \h </w:instrText>
            </w:r>
            <w:r w:rsidR="00B919E0" w:rsidRPr="005445C2">
              <w:rPr>
                <w:webHidden/>
              </w:rPr>
            </w:r>
            <w:r w:rsidR="00B919E0" w:rsidRPr="005445C2">
              <w:rPr>
                <w:webHidden/>
              </w:rPr>
              <w:fldChar w:fldCharType="separate"/>
            </w:r>
            <w:r w:rsidR="00A41217">
              <w:rPr>
                <w:webHidden/>
              </w:rPr>
              <w:t>12</w:t>
            </w:r>
            <w:r w:rsidR="00B919E0" w:rsidRPr="005445C2">
              <w:rPr>
                <w:webHidden/>
              </w:rPr>
              <w:fldChar w:fldCharType="end"/>
            </w:r>
          </w:hyperlink>
        </w:p>
        <w:p w14:paraId="6863FC90"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08" w:history="1">
            <w:r w:rsidR="00B919E0" w:rsidRPr="005445C2">
              <w:rPr>
                <w:rStyle w:val="Hyperlink"/>
                <w:rFonts w:ascii="Arial" w:hAnsi="Arial" w:cs="Arial"/>
                <w:noProof/>
              </w:rPr>
              <w:t>6.2</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Estimated mean dietary usual iodine intakes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_Toc430854508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12</w:t>
            </w:r>
            <w:r w:rsidR="00B919E0" w:rsidRPr="005445C2">
              <w:rPr>
                <w:rFonts w:ascii="Arial" w:hAnsi="Arial" w:cs="Arial"/>
                <w:noProof/>
                <w:webHidden/>
              </w:rPr>
              <w:fldChar w:fldCharType="end"/>
            </w:r>
          </w:hyperlink>
        </w:p>
        <w:p w14:paraId="5EDD1BF1" w14:textId="77777777" w:rsidR="00B919E0" w:rsidRPr="005445C2" w:rsidRDefault="001E1660">
          <w:pPr>
            <w:pStyle w:val="TOC3"/>
            <w:rPr>
              <w:rFonts w:eastAsiaTheme="minorEastAsia"/>
              <w:i w:val="0"/>
              <w:lang w:eastAsia="en-GB"/>
            </w:rPr>
          </w:pPr>
          <w:hyperlink w:anchor="_Toc430854509" w:history="1">
            <w:r w:rsidR="00B919E0" w:rsidRPr="005445C2">
              <w:rPr>
                <w:rStyle w:val="Hyperlink"/>
              </w:rPr>
              <w:t xml:space="preserve">6.2.1 </w:t>
            </w:r>
            <w:r w:rsidR="00B919E0" w:rsidRPr="005445C2">
              <w:rPr>
                <w:rFonts w:eastAsiaTheme="minorEastAsia"/>
                <w:i w:val="0"/>
                <w:lang w:eastAsia="en-GB"/>
              </w:rPr>
              <w:tab/>
            </w:r>
            <w:r w:rsidR="00B919E0" w:rsidRPr="005445C2">
              <w:rPr>
                <w:rStyle w:val="Hyperlink"/>
              </w:rPr>
              <w:t>Usual intake estimates for the target populations</w:t>
            </w:r>
            <w:r w:rsidR="00B919E0" w:rsidRPr="005445C2">
              <w:rPr>
                <w:webHidden/>
              </w:rPr>
              <w:tab/>
            </w:r>
            <w:r w:rsidR="00B919E0" w:rsidRPr="005445C2">
              <w:rPr>
                <w:webHidden/>
              </w:rPr>
              <w:fldChar w:fldCharType="begin"/>
            </w:r>
            <w:r w:rsidR="00B919E0" w:rsidRPr="005445C2">
              <w:rPr>
                <w:webHidden/>
              </w:rPr>
              <w:instrText xml:space="preserve"> PAGEREF _Toc430854509 \h </w:instrText>
            </w:r>
            <w:r w:rsidR="00B919E0" w:rsidRPr="005445C2">
              <w:rPr>
                <w:webHidden/>
              </w:rPr>
            </w:r>
            <w:r w:rsidR="00B919E0" w:rsidRPr="005445C2">
              <w:rPr>
                <w:webHidden/>
              </w:rPr>
              <w:fldChar w:fldCharType="separate"/>
            </w:r>
            <w:r w:rsidR="00A41217">
              <w:rPr>
                <w:webHidden/>
              </w:rPr>
              <w:t>13</w:t>
            </w:r>
            <w:r w:rsidR="00B919E0" w:rsidRPr="005445C2">
              <w:rPr>
                <w:webHidden/>
              </w:rPr>
              <w:fldChar w:fldCharType="end"/>
            </w:r>
          </w:hyperlink>
        </w:p>
        <w:p w14:paraId="6385E183" w14:textId="77777777" w:rsidR="00B919E0" w:rsidRPr="005445C2" w:rsidRDefault="001E1660">
          <w:pPr>
            <w:pStyle w:val="TOC3"/>
            <w:rPr>
              <w:rFonts w:eastAsiaTheme="minorEastAsia"/>
              <w:i w:val="0"/>
              <w:lang w:eastAsia="en-GB"/>
            </w:rPr>
          </w:pPr>
          <w:hyperlink w:anchor="_Toc430854510" w:history="1">
            <w:r w:rsidR="00B919E0" w:rsidRPr="005445C2">
              <w:rPr>
                <w:rStyle w:val="Hyperlink"/>
              </w:rPr>
              <w:t>6.2.2</w:t>
            </w:r>
            <w:r w:rsidR="00B919E0" w:rsidRPr="005445C2">
              <w:rPr>
                <w:rFonts w:eastAsiaTheme="minorEastAsia"/>
                <w:i w:val="0"/>
                <w:lang w:eastAsia="en-GB"/>
              </w:rPr>
              <w:tab/>
            </w:r>
            <w:r w:rsidR="00B919E0" w:rsidRPr="005445C2">
              <w:rPr>
                <w:rStyle w:val="Hyperlink"/>
              </w:rPr>
              <w:t>Usual intake estimates for non-target population sub-groups</w:t>
            </w:r>
            <w:r w:rsidR="00B919E0" w:rsidRPr="005445C2">
              <w:rPr>
                <w:webHidden/>
              </w:rPr>
              <w:tab/>
            </w:r>
            <w:r w:rsidR="00B919E0" w:rsidRPr="005445C2">
              <w:rPr>
                <w:webHidden/>
              </w:rPr>
              <w:fldChar w:fldCharType="begin"/>
            </w:r>
            <w:r w:rsidR="00B919E0" w:rsidRPr="005445C2">
              <w:rPr>
                <w:webHidden/>
              </w:rPr>
              <w:instrText xml:space="preserve"> PAGEREF _Toc430854510 \h </w:instrText>
            </w:r>
            <w:r w:rsidR="00B919E0" w:rsidRPr="005445C2">
              <w:rPr>
                <w:webHidden/>
              </w:rPr>
            </w:r>
            <w:r w:rsidR="00B919E0" w:rsidRPr="005445C2">
              <w:rPr>
                <w:webHidden/>
              </w:rPr>
              <w:fldChar w:fldCharType="separate"/>
            </w:r>
            <w:r w:rsidR="00A41217">
              <w:rPr>
                <w:webHidden/>
              </w:rPr>
              <w:t>16</w:t>
            </w:r>
            <w:r w:rsidR="00B919E0" w:rsidRPr="005445C2">
              <w:rPr>
                <w:webHidden/>
              </w:rPr>
              <w:fldChar w:fldCharType="end"/>
            </w:r>
          </w:hyperlink>
        </w:p>
        <w:p w14:paraId="22294D30"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11" w:history="1">
            <w:r w:rsidR="00B919E0" w:rsidRPr="005445C2">
              <w:rPr>
                <w:rStyle w:val="Hyperlink"/>
                <w:rFonts w:ascii="Arial" w:hAnsi="Arial" w:cs="Arial"/>
                <w:noProof/>
              </w:rPr>
              <w:t>6.3</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Estimates of 5</w:t>
            </w:r>
            <w:r w:rsidR="00B919E0" w:rsidRPr="005445C2">
              <w:rPr>
                <w:rStyle w:val="Hyperlink"/>
                <w:rFonts w:ascii="Arial" w:hAnsi="Arial" w:cs="Arial"/>
                <w:noProof/>
                <w:vertAlign w:val="superscript"/>
              </w:rPr>
              <w:t>th</w:t>
            </w:r>
            <w:r w:rsidR="00B919E0" w:rsidRPr="005445C2">
              <w:rPr>
                <w:rStyle w:val="Hyperlink"/>
                <w:rFonts w:ascii="Arial" w:hAnsi="Arial" w:cs="Arial"/>
                <w:noProof/>
              </w:rPr>
              <w:t xml:space="preserve"> and 95</w:t>
            </w:r>
            <w:r w:rsidR="00B919E0" w:rsidRPr="005445C2">
              <w:rPr>
                <w:rStyle w:val="Hyperlink"/>
                <w:rFonts w:ascii="Arial" w:hAnsi="Arial" w:cs="Arial"/>
                <w:noProof/>
                <w:vertAlign w:val="superscript"/>
              </w:rPr>
              <w:t>th</w:t>
            </w:r>
            <w:r w:rsidR="00B919E0" w:rsidRPr="005445C2">
              <w:rPr>
                <w:rStyle w:val="Hyperlink"/>
                <w:rFonts w:ascii="Arial" w:hAnsi="Arial" w:cs="Arial"/>
                <w:noProof/>
              </w:rPr>
              <w:t xml:space="preserve"> percentile dietary usual iodine intakes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_Toc430854511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17</w:t>
            </w:r>
            <w:r w:rsidR="00B919E0" w:rsidRPr="005445C2">
              <w:rPr>
                <w:rFonts w:ascii="Arial" w:hAnsi="Arial" w:cs="Arial"/>
                <w:noProof/>
                <w:webHidden/>
              </w:rPr>
              <w:fldChar w:fldCharType="end"/>
            </w:r>
          </w:hyperlink>
        </w:p>
        <w:p w14:paraId="2582E1D0"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12" w:history="1">
            <w:r w:rsidR="00B919E0" w:rsidRPr="005445C2">
              <w:rPr>
                <w:rStyle w:val="Hyperlink"/>
                <w:rFonts w:ascii="Arial" w:hAnsi="Arial" w:cs="Arial"/>
                <w:noProof/>
                <w:lang w:val="en-AU"/>
              </w:rPr>
              <w:t>6.4</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lang w:val="en-AU"/>
              </w:rPr>
              <w:t>Proportion of Australians with dietary iodine intakes outside of the relevant nutrient reference values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_Toc430854512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18</w:t>
            </w:r>
            <w:r w:rsidR="00B919E0" w:rsidRPr="005445C2">
              <w:rPr>
                <w:rFonts w:ascii="Arial" w:hAnsi="Arial" w:cs="Arial"/>
                <w:noProof/>
                <w:webHidden/>
              </w:rPr>
              <w:fldChar w:fldCharType="end"/>
            </w:r>
          </w:hyperlink>
        </w:p>
        <w:p w14:paraId="291DA4F5" w14:textId="77777777" w:rsidR="00B919E0" w:rsidRPr="005445C2" w:rsidRDefault="001E1660">
          <w:pPr>
            <w:pStyle w:val="TOC3"/>
            <w:rPr>
              <w:rFonts w:eastAsiaTheme="minorEastAsia"/>
              <w:i w:val="0"/>
              <w:lang w:eastAsia="en-GB"/>
            </w:rPr>
          </w:pPr>
          <w:hyperlink w:anchor="_Toc430854513" w:history="1">
            <w:r w:rsidR="00B919E0" w:rsidRPr="005445C2">
              <w:rPr>
                <w:rStyle w:val="Hyperlink"/>
              </w:rPr>
              <w:t>6.4.1</w:t>
            </w:r>
            <w:r w:rsidR="00B919E0" w:rsidRPr="005445C2">
              <w:rPr>
                <w:rFonts w:eastAsiaTheme="minorEastAsia"/>
                <w:i w:val="0"/>
                <w:lang w:eastAsia="en-GB"/>
              </w:rPr>
              <w:tab/>
            </w:r>
            <w:r w:rsidR="00B919E0" w:rsidRPr="005445C2">
              <w:rPr>
                <w:rStyle w:val="Hyperlink"/>
              </w:rPr>
              <w:t>Usual intake estimates below the estimated average requirement (EAR)</w:t>
            </w:r>
            <w:r w:rsidR="00B919E0" w:rsidRPr="005445C2">
              <w:rPr>
                <w:webHidden/>
              </w:rPr>
              <w:tab/>
            </w:r>
            <w:r w:rsidR="00B919E0" w:rsidRPr="005445C2">
              <w:rPr>
                <w:webHidden/>
              </w:rPr>
              <w:fldChar w:fldCharType="begin"/>
            </w:r>
            <w:r w:rsidR="00B919E0" w:rsidRPr="005445C2">
              <w:rPr>
                <w:webHidden/>
              </w:rPr>
              <w:instrText xml:space="preserve"> PAGEREF _Toc430854513 \h </w:instrText>
            </w:r>
            <w:r w:rsidR="00B919E0" w:rsidRPr="005445C2">
              <w:rPr>
                <w:webHidden/>
              </w:rPr>
            </w:r>
            <w:r w:rsidR="00B919E0" w:rsidRPr="005445C2">
              <w:rPr>
                <w:webHidden/>
              </w:rPr>
              <w:fldChar w:fldCharType="separate"/>
            </w:r>
            <w:r w:rsidR="00A41217">
              <w:rPr>
                <w:webHidden/>
              </w:rPr>
              <w:t>19</w:t>
            </w:r>
            <w:r w:rsidR="00B919E0" w:rsidRPr="005445C2">
              <w:rPr>
                <w:webHidden/>
              </w:rPr>
              <w:fldChar w:fldCharType="end"/>
            </w:r>
          </w:hyperlink>
        </w:p>
        <w:p w14:paraId="714E0DEA" w14:textId="77777777" w:rsidR="00B919E0" w:rsidRPr="005445C2" w:rsidRDefault="001E1660">
          <w:pPr>
            <w:pStyle w:val="TOC3"/>
            <w:rPr>
              <w:rFonts w:eastAsiaTheme="minorEastAsia"/>
              <w:i w:val="0"/>
              <w:lang w:eastAsia="en-GB"/>
            </w:rPr>
          </w:pPr>
          <w:hyperlink w:anchor="_Toc430854514" w:history="1">
            <w:r w:rsidR="00B919E0" w:rsidRPr="005445C2">
              <w:rPr>
                <w:rStyle w:val="Hyperlink"/>
              </w:rPr>
              <w:t>6.4.2</w:t>
            </w:r>
            <w:r w:rsidR="00B919E0" w:rsidRPr="005445C2">
              <w:rPr>
                <w:rFonts w:eastAsiaTheme="minorEastAsia"/>
                <w:i w:val="0"/>
                <w:lang w:eastAsia="en-GB"/>
              </w:rPr>
              <w:tab/>
            </w:r>
            <w:r w:rsidR="00B919E0" w:rsidRPr="005445C2">
              <w:rPr>
                <w:rStyle w:val="Hyperlink"/>
              </w:rPr>
              <w:t>Usual intake estimates above the upper level (UL)</w:t>
            </w:r>
            <w:r w:rsidR="00B919E0" w:rsidRPr="005445C2">
              <w:rPr>
                <w:webHidden/>
              </w:rPr>
              <w:tab/>
            </w:r>
            <w:r w:rsidR="00B919E0" w:rsidRPr="005445C2">
              <w:rPr>
                <w:webHidden/>
              </w:rPr>
              <w:fldChar w:fldCharType="begin"/>
            </w:r>
            <w:r w:rsidR="00B919E0" w:rsidRPr="005445C2">
              <w:rPr>
                <w:webHidden/>
              </w:rPr>
              <w:instrText xml:space="preserve"> PAGEREF _Toc430854514 \h </w:instrText>
            </w:r>
            <w:r w:rsidR="00B919E0" w:rsidRPr="005445C2">
              <w:rPr>
                <w:webHidden/>
              </w:rPr>
            </w:r>
            <w:r w:rsidR="00B919E0" w:rsidRPr="005445C2">
              <w:rPr>
                <w:webHidden/>
              </w:rPr>
              <w:fldChar w:fldCharType="separate"/>
            </w:r>
            <w:r w:rsidR="00A41217">
              <w:rPr>
                <w:webHidden/>
              </w:rPr>
              <w:t>21</w:t>
            </w:r>
            <w:r w:rsidR="00B919E0" w:rsidRPr="005445C2">
              <w:rPr>
                <w:webHidden/>
              </w:rPr>
              <w:fldChar w:fldCharType="end"/>
            </w:r>
          </w:hyperlink>
        </w:p>
        <w:p w14:paraId="5A78ABB7"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15" w:history="1">
            <w:r w:rsidR="00B919E0" w:rsidRPr="005445C2">
              <w:rPr>
                <w:rStyle w:val="Hyperlink"/>
                <w:rFonts w:ascii="Arial" w:hAnsi="Arial" w:cs="Arial"/>
                <w:noProof/>
              </w:rPr>
              <w:t>7.0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Major food contributors to estimated dietary iodine intake of Australians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_Toc430854515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23</w:t>
            </w:r>
            <w:r w:rsidR="00B919E0" w:rsidRPr="005445C2">
              <w:rPr>
                <w:rFonts w:ascii="Arial" w:hAnsi="Arial" w:cs="Arial"/>
                <w:noProof/>
                <w:webHidden/>
              </w:rPr>
              <w:fldChar w:fldCharType="end"/>
            </w:r>
          </w:hyperlink>
        </w:p>
        <w:p w14:paraId="62605FEC" w14:textId="77777777"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16" w:history="1">
            <w:r w:rsidR="00B919E0" w:rsidRPr="005445C2">
              <w:rPr>
                <w:rStyle w:val="Hyperlink"/>
                <w:rFonts w:ascii="Arial" w:hAnsi="Arial" w:cs="Arial"/>
                <w:noProof/>
              </w:rPr>
              <w:t>7.1</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Food contributors to children’s dietary iodine intake</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_Toc430854516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23</w:t>
            </w:r>
            <w:r w:rsidR="00B919E0" w:rsidRPr="005445C2">
              <w:rPr>
                <w:rFonts w:ascii="Arial" w:hAnsi="Arial" w:cs="Arial"/>
                <w:noProof/>
                <w:webHidden/>
              </w:rPr>
              <w:fldChar w:fldCharType="end"/>
            </w:r>
          </w:hyperlink>
        </w:p>
        <w:p w14:paraId="264CD5C6" w14:textId="7DEE9162" w:rsidR="00B919E0" w:rsidRPr="005445C2" w:rsidRDefault="001E1660">
          <w:pPr>
            <w:pStyle w:val="TOC2"/>
            <w:tabs>
              <w:tab w:val="left" w:pos="880"/>
              <w:tab w:val="right" w:pos="9060"/>
            </w:tabs>
            <w:rPr>
              <w:rFonts w:ascii="Arial" w:eastAsiaTheme="minorEastAsia" w:hAnsi="Arial" w:cs="Arial"/>
              <w:noProof/>
              <w:sz w:val="22"/>
              <w:lang w:eastAsia="en-GB"/>
            </w:rPr>
          </w:pPr>
          <w:hyperlink w:anchor="_Toc430854517" w:history="1">
            <w:r w:rsidR="00B919E0" w:rsidRPr="005445C2">
              <w:rPr>
                <w:rStyle w:val="Hyperlink"/>
                <w:rFonts w:ascii="Arial" w:hAnsi="Arial" w:cs="Arial"/>
                <w:noProof/>
              </w:rPr>
              <w:t>7.2</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Food contributors to dietary iodine intake of Australians aged 17 years and above including </w:t>
            </w:r>
            <w:r w:rsidR="00F343F7">
              <w:rPr>
                <w:rStyle w:val="Hyperlink"/>
                <w:rFonts w:ascii="Arial" w:hAnsi="Arial" w:cs="Arial"/>
                <w:noProof/>
              </w:rPr>
              <w:t>females</w:t>
            </w:r>
            <w:r w:rsidR="00B919E0" w:rsidRPr="005445C2">
              <w:rPr>
                <w:rStyle w:val="Hyperlink"/>
                <w:rFonts w:ascii="Arial" w:hAnsi="Arial" w:cs="Arial"/>
                <w:noProof/>
              </w:rPr>
              <w:t xml:space="preserve"> of child-bearing age</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_Toc430854517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27</w:t>
            </w:r>
            <w:r w:rsidR="00B919E0" w:rsidRPr="005445C2">
              <w:rPr>
                <w:rFonts w:ascii="Arial" w:hAnsi="Arial" w:cs="Arial"/>
                <w:noProof/>
                <w:webHidden/>
              </w:rPr>
              <w:fldChar w:fldCharType="end"/>
            </w:r>
          </w:hyperlink>
        </w:p>
        <w:p w14:paraId="6CB1DC20"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18" w:history="1">
            <w:r w:rsidR="00B919E0" w:rsidRPr="005445C2">
              <w:rPr>
                <w:rStyle w:val="Hyperlink"/>
                <w:rFonts w:ascii="Arial" w:hAnsi="Arial" w:cs="Arial"/>
                <w:noProof/>
              </w:rPr>
              <w:t xml:space="preserve">8.0 </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Comparison of the current dietary usual iodine intake estimates to previously predicted estimates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_Toc430854518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30</w:t>
            </w:r>
            <w:r w:rsidR="00B919E0" w:rsidRPr="005445C2">
              <w:rPr>
                <w:rFonts w:ascii="Arial" w:hAnsi="Arial" w:cs="Arial"/>
                <w:noProof/>
                <w:webHidden/>
              </w:rPr>
              <w:fldChar w:fldCharType="end"/>
            </w:r>
          </w:hyperlink>
        </w:p>
        <w:p w14:paraId="7E56B799" w14:textId="77777777" w:rsidR="00B919E0" w:rsidRPr="005445C2" w:rsidRDefault="001E1660">
          <w:pPr>
            <w:pStyle w:val="TOC1"/>
            <w:tabs>
              <w:tab w:val="left" w:pos="660"/>
              <w:tab w:val="right" w:pos="9060"/>
            </w:tabs>
            <w:rPr>
              <w:rFonts w:ascii="Arial" w:eastAsiaTheme="minorEastAsia" w:hAnsi="Arial" w:cs="Arial"/>
              <w:noProof/>
              <w:sz w:val="22"/>
              <w:lang w:eastAsia="en-GB"/>
            </w:rPr>
          </w:pPr>
          <w:hyperlink w:anchor="_Toc430854519" w:history="1">
            <w:r w:rsidR="00B919E0" w:rsidRPr="005445C2">
              <w:rPr>
                <w:rStyle w:val="Hyperlink"/>
                <w:rFonts w:ascii="Arial" w:hAnsi="Arial" w:cs="Arial"/>
                <w:noProof/>
              </w:rPr>
              <w:t>9.0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Conclusion</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_Toc430854519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30</w:t>
            </w:r>
            <w:r w:rsidR="00B919E0" w:rsidRPr="005445C2">
              <w:rPr>
                <w:rFonts w:ascii="Arial" w:hAnsi="Arial" w:cs="Arial"/>
                <w:noProof/>
                <w:webHidden/>
              </w:rPr>
              <w:fldChar w:fldCharType="end"/>
            </w:r>
          </w:hyperlink>
        </w:p>
        <w:p w14:paraId="5FCE7213" w14:textId="77777777" w:rsidR="00B919E0" w:rsidRPr="005445C2" w:rsidRDefault="001E1660">
          <w:pPr>
            <w:pStyle w:val="TOC1"/>
            <w:tabs>
              <w:tab w:val="left" w:pos="880"/>
              <w:tab w:val="right" w:pos="9060"/>
            </w:tabs>
            <w:rPr>
              <w:rFonts w:ascii="Arial" w:eastAsiaTheme="minorEastAsia" w:hAnsi="Arial" w:cs="Arial"/>
              <w:noProof/>
              <w:sz w:val="22"/>
              <w:lang w:eastAsia="en-GB"/>
            </w:rPr>
          </w:pPr>
          <w:hyperlink w:anchor="_Toc430854520" w:history="1">
            <w:r w:rsidR="00B919E0" w:rsidRPr="005445C2">
              <w:rPr>
                <w:rStyle w:val="Hyperlink"/>
                <w:rFonts w:ascii="Arial" w:hAnsi="Arial" w:cs="Arial"/>
                <w:noProof/>
              </w:rPr>
              <w:t>10.0</w:t>
            </w:r>
            <w:r w:rsidR="00B919E0" w:rsidRPr="005445C2">
              <w:rPr>
                <w:rFonts w:ascii="Arial" w:eastAsiaTheme="minorEastAsia" w:hAnsi="Arial" w:cs="Arial"/>
                <w:noProof/>
                <w:sz w:val="22"/>
                <w:lang w:eastAsia="en-GB"/>
              </w:rPr>
              <w:tab/>
            </w:r>
            <w:r w:rsidR="00B919E0" w:rsidRPr="005445C2">
              <w:rPr>
                <w:rStyle w:val="Hyperlink"/>
                <w:rFonts w:ascii="Arial" w:hAnsi="Arial" w:cs="Arial"/>
                <w:noProof/>
              </w:rPr>
              <w:t xml:space="preserve"> References</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_Toc430854520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32</w:t>
            </w:r>
            <w:r w:rsidR="00B919E0" w:rsidRPr="005445C2">
              <w:rPr>
                <w:rFonts w:ascii="Arial" w:hAnsi="Arial" w:cs="Arial"/>
                <w:noProof/>
                <w:webHidden/>
              </w:rPr>
              <w:fldChar w:fldCharType="end"/>
            </w:r>
          </w:hyperlink>
        </w:p>
        <w:p w14:paraId="0DFB28BC" w14:textId="77777777" w:rsidR="00B919E0" w:rsidRPr="005445C2" w:rsidRDefault="001E1660">
          <w:pPr>
            <w:pStyle w:val="TOC1"/>
            <w:tabs>
              <w:tab w:val="right" w:pos="9060"/>
            </w:tabs>
            <w:rPr>
              <w:rFonts w:ascii="Arial" w:eastAsiaTheme="minorEastAsia" w:hAnsi="Arial" w:cs="Arial"/>
              <w:noProof/>
              <w:sz w:val="22"/>
              <w:lang w:eastAsia="en-GB"/>
            </w:rPr>
          </w:pPr>
          <w:hyperlink w:anchor="_Toc430854521" w:history="1">
            <w:r w:rsidR="00B919E0" w:rsidRPr="005445C2">
              <w:rPr>
                <w:rStyle w:val="Hyperlink"/>
                <w:rFonts w:ascii="Arial" w:hAnsi="Arial" w:cs="Arial"/>
                <w:noProof/>
              </w:rPr>
              <w:t>Appendix 1</w:t>
            </w:r>
            <w:r w:rsidR="00B919E0" w:rsidRPr="005445C2">
              <w:rPr>
                <w:rFonts w:ascii="Arial" w:hAnsi="Arial" w:cs="Arial"/>
                <w:noProof/>
                <w:webHidden/>
              </w:rPr>
              <w:tab/>
            </w:r>
            <w:r w:rsidR="00B919E0" w:rsidRPr="005445C2">
              <w:rPr>
                <w:rFonts w:ascii="Arial" w:hAnsi="Arial" w:cs="Arial"/>
                <w:noProof/>
                <w:webHidden/>
              </w:rPr>
              <w:fldChar w:fldCharType="begin"/>
            </w:r>
            <w:r w:rsidR="00B919E0" w:rsidRPr="005445C2">
              <w:rPr>
                <w:rFonts w:ascii="Arial" w:hAnsi="Arial" w:cs="Arial"/>
                <w:noProof/>
                <w:webHidden/>
              </w:rPr>
              <w:instrText xml:space="preserve"> PAGEREF _Toc430854521 \h </w:instrText>
            </w:r>
            <w:r w:rsidR="00B919E0" w:rsidRPr="005445C2">
              <w:rPr>
                <w:rFonts w:ascii="Arial" w:hAnsi="Arial" w:cs="Arial"/>
                <w:noProof/>
                <w:webHidden/>
              </w:rPr>
            </w:r>
            <w:r w:rsidR="00B919E0" w:rsidRPr="005445C2">
              <w:rPr>
                <w:rFonts w:ascii="Arial" w:hAnsi="Arial" w:cs="Arial"/>
                <w:noProof/>
                <w:webHidden/>
              </w:rPr>
              <w:fldChar w:fldCharType="separate"/>
            </w:r>
            <w:r w:rsidR="00A41217">
              <w:rPr>
                <w:rFonts w:ascii="Arial" w:hAnsi="Arial" w:cs="Arial"/>
                <w:noProof/>
                <w:webHidden/>
              </w:rPr>
              <w:t>33</w:t>
            </w:r>
            <w:r w:rsidR="00B919E0" w:rsidRPr="005445C2">
              <w:rPr>
                <w:rFonts w:ascii="Arial" w:hAnsi="Arial" w:cs="Arial"/>
                <w:noProof/>
                <w:webHidden/>
              </w:rPr>
              <w:fldChar w:fldCharType="end"/>
            </w:r>
          </w:hyperlink>
        </w:p>
        <w:p w14:paraId="46AC36D0" w14:textId="77777777" w:rsidR="00EF69D7" w:rsidRDefault="00CA2AD9" w:rsidP="00EF69D7">
          <w:pPr>
            <w:rPr>
              <w:rFonts w:ascii="Arial" w:hAnsi="Arial" w:cs="Arial"/>
              <w:noProof/>
              <w:szCs w:val="24"/>
            </w:rPr>
          </w:pPr>
          <w:r w:rsidRPr="005445C2">
            <w:rPr>
              <w:rFonts w:ascii="Arial" w:hAnsi="Arial" w:cs="Arial"/>
              <w:b/>
              <w:bCs/>
              <w:noProof/>
              <w:szCs w:val="24"/>
            </w:rPr>
            <w:fldChar w:fldCharType="end"/>
          </w:r>
        </w:p>
      </w:sdtContent>
    </w:sdt>
    <w:p w14:paraId="5D7347FE" w14:textId="2175FE5F" w:rsidR="00E04094" w:rsidRPr="00EF69D7" w:rsidRDefault="00E04094" w:rsidP="00EF69D7">
      <w:pPr>
        <w:rPr>
          <w:rFonts w:ascii="Arial" w:hAnsi="Arial" w:cs="Arial"/>
          <w:b/>
          <w:bCs/>
          <w:noProof/>
          <w:szCs w:val="24"/>
        </w:rPr>
      </w:pPr>
      <w:r w:rsidRPr="00786C4A">
        <w:rPr>
          <w:rFonts w:ascii="Arial" w:hAnsi="Arial" w:cs="Arial"/>
          <w:b/>
          <w:bCs/>
          <w:caps/>
          <w:szCs w:val="24"/>
        </w:rPr>
        <w:t>List of Figures and Tables</w:t>
      </w:r>
    </w:p>
    <w:p w14:paraId="5D7347FF" w14:textId="185BEC37" w:rsidR="001C1317" w:rsidRPr="00786C4A" w:rsidRDefault="00622A8C" w:rsidP="00CC5193">
      <w:pPr>
        <w:rPr>
          <w:rFonts w:ascii="Arial" w:hAnsi="Arial" w:cs="Arial"/>
          <w:b/>
          <w:sz w:val="22"/>
          <w:u w:val="single"/>
        </w:rPr>
      </w:pPr>
      <w:r w:rsidRPr="00786C4A">
        <w:rPr>
          <w:rFonts w:ascii="Arial" w:hAnsi="Arial" w:cs="Arial"/>
          <w:b/>
          <w:sz w:val="22"/>
          <w:u w:val="single"/>
        </w:rPr>
        <w:t>FIGURES</w:t>
      </w:r>
    </w:p>
    <w:p w14:paraId="41839FD5" w14:textId="7D538067" w:rsidR="00B919E0" w:rsidRPr="00EF69D7" w:rsidRDefault="00D47439">
      <w:pPr>
        <w:pStyle w:val="TableofFigures"/>
        <w:tabs>
          <w:tab w:val="right" w:pos="9060"/>
        </w:tabs>
        <w:rPr>
          <w:rFonts w:ascii="Arial" w:eastAsiaTheme="minorEastAsia" w:hAnsi="Arial" w:cs="Arial"/>
          <w:caps w:val="0"/>
          <w:noProof/>
          <w:sz w:val="18"/>
          <w:szCs w:val="18"/>
          <w:lang w:eastAsia="en-GB"/>
        </w:rPr>
      </w:pPr>
      <w:r w:rsidRPr="00EF69D7">
        <w:rPr>
          <w:rFonts w:ascii="Arial" w:hAnsi="Arial" w:cs="Arial"/>
          <w:b/>
          <w:bCs/>
          <w:caps w:val="0"/>
          <w:sz w:val="18"/>
          <w:szCs w:val="18"/>
        </w:rPr>
        <w:fldChar w:fldCharType="begin"/>
      </w:r>
      <w:r w:rsidRPr="00EF69D7">
        <w:rPr>
          <w:rFonts w:ascii="Arial" w:hAnsi="Arial" w:cs="Arial"/>
          <w:b/>
          <w:bCs/>
          <w:caps w:val="0"/>
          <w:sz w:val="18"/>
          <w:szCs w:val="18"/>
        </w:rPr>
        <w:instrText xml:space="preserve"> TOC \h \z \c "Figure" </w:instrText>
      </w:r>
      <w:r w:rsidRPr="00EF69D7">
        <w:rPr>
          <w:rFonts w:ascii="Arial" w:hAnsi="Arial" w:cs="Arial"/>
          <w:b/>
          <w:bCs/>
          <w:caps w:val="0"/>
          <w:sz w:val="18"/>
          <w:szCs w:val="18"/>
        </w:rPr>
        <w:fldChar w:fldCharType="separate"/>
      </w:r>
      <w:hyperlink w:anchor="_Toc430854547" w:history="1">
        <w:r w:rsidR="00B919E0" w:rsidRPr="00EF69D7">
          <w:rPr>
            <w:rStyle w:val="Hyperlink"/>
            <w:rFonts w:ascii="Arial" w:hAnsi="Arial" w:cs="Arial"/>
            <w:noProof/>
            <w:sz w:val="18"/>
            <w:szCs w:val="18"/>
          </w:rPr>
          <w:t xml:space="preserve">Figure 1: Diagrammatic representation of FSANZ's iodine bread survey </w:t>
        </w:r>
        <w:r w:rsidR="00622A8C" w:rsidRPr="00EF69D7">
          <w:rPr>
            <w:rStyle w:val="Hyperlink"/>
            <w:rFonts w:ascii="Arial" w:hAnsi="Arial" w:cs="Arial"/>
            <w:noProof/>
            <w:sz w:val="18"/>
            <w:szCs w:val="18"/>
          </w:rPr>
          <w:t xml:space="preserve">      </w:t>
        </w:r>
        <w:r w:rsidR="00B919E0" w:rsidRPr="00EF69D7">
          <w:rPr>
            <w:rStyle w:val="Hyperlink"/>
            <w:rFonts w:ascii="Arial" w:hAnsi="Arial" w:cs="Arial"/>
            <w:noProof/>
            <w:sz w:val="18"/>
            <w:szCs w:val="18"/>
          </w:rPr>
          <w:t>sampling periods</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_Toc430854547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6</w:t>
        </w:r>
        <w:r w:rsidR="00B919E0" w:rsidRPr="00EF69D7">
          <w:rPr>
            <w:rFonts w:ascii="Arial" w:hAnsi="Arial" w:cs="Arial"/>
            <w:noProof/>
            <w:webHidden/>
            <w:sz w:val="18"/>
            <w:szCs w:val="18"/>
          </w:rPr>
          <w:fldChar w:fldCharType="end"/>
        </w:r>
      </w:hyperlink>
    </w:p>
    <w:p w14:paraId="71977B08"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48" w:history="1">
        <w:r w:rsidR="00B919E0" w:rsidRPr="00EF69D7">
          <w:rPr>
            <w:rStyle w:val="Hyperlink"/>
            <w:rFonts w:ascii="Arial" w:hAnsi="Arial" w:cs="Arial"/>
            <w:noProof/>
            <w:sz w:val="18"/>
            <w:szCs w:val="18"/>
          </w:rPr>
          <w:t>Figure 2: Estimated mean dietary usual iodine intakes for Australian adults by age group and gender</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_Toc430854548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15</w:t>
        </w:r>
        <w:r w:rsidR="00B919E0" w:rsidRPr="00EF69D7">
          <w:rPr>
            <w:rFonts w:ascii="Arial" w:hAnsi="Arial" w:cs="Arial"/>
            <w:noProof/>
            <w:webHidden/>
            <w:sz w:val="18"/>
            <w:szCs w:val="18"/>
          </w:rPr>
          <w:fldChar w:fldCharType="end"/>
        </w:r>
      </w:hyperlink>
    </w:p>
    <w:p w14:paraId="5B57CBC7"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49" w:history="1">
        <w:r w:rsidR="00B919E0" w:rsidRPr="00EF69D7">
          <w:rPr>
            <w:rStyle w:val="Hyperlink"/>
            <w:rFonts w:ascii="Arial" w:hAnsi="Arial" w:cs="Arial"/>
            <w:noProof/>
            <w:sz w:val="18"/>
            <w:szCs w:val="18"/>
          </w:rPr>
          <w:t>Figure 3: Estimated mean dietary usual iodine intakes for Australian children by age group and gender</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_Toc430854549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15</w:t>
        </w:r>
        <w:r w:rsidR="00B919E0" w:rsidRPr="00EF69D7">
          <w:rPr>
            <w:rFonts w:ascii="Arial" w:hAnsi="Arial" w:cs="Arial"/>
            <w:noProof/>
            <w:webHidden/>
            <w:sz w:val="18"/>
            <w:szCs w:val="18"/>
          </w:rPr>
          <w:fldChar w:fldCharType="end"/>
        </w:r>
      </w:hyperlink>
    </w:p>
    <w:p w14:paraId="52318475"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0" w:history="1">
        <w:r w:rsidR="00B919E0" w:rsidRPr="00EF69D7">
          <w:rPr>
            <w:rStyle w:val="Hyperlink"/>
            <w:rFonts w:ascii="Arial" w:hAnsi="Arial" w:cs="Arial"/>
            <w:noProof/>
            <w:sz w:val="18"/>
            <w:szCs w:val="18"/>
          </w:rPr>
          <w:t>Figure 4: Estimated proportion of Australians with inadequate dietary iodine intake (below EAR)</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_Toc430854550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19</w:t>
        </w:r>
        <w:r w:rsidR="00B919E0" w:rsidRPr="00EF69D7">
          <w:rPr>
            <w:rFonts w:ascii="Arial" w:hAnsi="Arial" w:cs="Arial"/>
            <w:noProof/>
            <w:webHidden/>
            <w:sz w:val="18"/>
            <w:szCs w:val="18"/>
          </w:rPr>
          <w:fldChar w:fldCharType="end"/>
        </w:r>
      </w:hyperlink>
    </w:p>
    <w:p w14:paraId="50B35D50"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1" w:history="1">
        <w:r w:rsidR="00B919E0" w:rsidRPr="00EF69D7">
          <w:rPr>
            <w:rStyle w:val="Hyperlink"/>
            <w:rFonts w:ascii="Arial" w:hAnsi="Arial" w:cs="Arial"/>
            <w:noProof/>
            <w:sz w:val="18"/>
            <w:szCs w:val="18"/>
          </w:rPr>
          <w:t>Figure 5: Major food contributors to total dietary iodine intake (%) – Australian children 2-3 years old</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_Toc430854551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24</w:t>
        </w:r>
        <w:r w:rsidR="00B919E0" w:rsidRPr="00EF69D7">
          <w:rPr>
            <w:rFonts w:ascii="Arial" w:hAnsi="Arial" w:cs="Arial"/>
            <w:noProof/>
            <w:webHidden/>
            <w:sz w:val="18"/>
            <w:szCs w:val="18"/>
          </w:rPr>
          <w:fldChar w:fldCharType="end"/>
        </w:r>
      </w:hyperlink>
    </w:p>
    <w:p w14:paraId="0C0F939E"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2" w:history="1">
        <w:r w:rsidR="00B919E0" w:rsidRPr="00EF69D7">
          <w:rPr>
            <w:rStyle w:val="Hyperlink"/>
            <w:rFonts w:ascii="Arial" w:hAnsi="Arial" w:cs="Arial"/>
            <w:noProof/>
            <w:sz w:val="18"/>
            <w:szCs w:val="18"/>
          </w:rPr>
          <w:t>Figure 6: Major food contributors to total dietary iodine intake (%) - Children 2-16 years</w:t>
        </w:r>
        <w:r w:rsidR="00B919E0" w:rsidRPr="00EF69D7">
          <w:rPr>
            <w:rStyle w:val="Hyperlink"/>
            <w:rFonts w:ascii="Arial" w:hAnsi="Arial" w:cs="Arial"/>
            <w:noProof/>
            <w:sz w:val="18"/>
            <w:szCs w:val="18"/>
            <w:vertAlign w:val="superscript"/>
          </w:rPr>
          <w:t xml:space="preserve"> </w:t>
        </w:r>
        <w:r w:rsidR="00B919E0" w:rsidRPr="00EF69D7">
          <w:rPr>
            <w:rStyle w:val="Hyperlink"/>
            <w:rFonts w:ascii="Arial" w:hAnsi="Arial" w:cs="Arial"/>
            <w:noProof/>
            <w:sz w:val="18"/>
            <w:szCs w:val="18"/>
          </w:rPr>
          <w:t>old</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_Toc430854552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25</w:t>
        </w:r>
        <w:r w:rsidR="00B919E0" w:rsidRPr="00EF69D7">
          <w:rPr>
            <w:rFonts w:ascii="Arial" w:hAnsi="Arial" w:cs="Arial"/>
            <w:noProof/>
            <w:webHidden/>
            <w:sz w:val="18"/>
            <w:szCs w:val="18"/>
          </w:rPr>
          <w:fldChar w:fldCharType="end"/>
        </w:r>
      </w:hyperlink>
    </w:p>
    <w:p w14:paraId="4C9EC7CC"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3" w:history="1">
        <w:r w:rsidR="00B919E0" w:rsidRPr="00EF69D7">
          <w:rPr>
            <w:rStyle w:val="Hyperlink"/>
            <w:rFonts w:ascii="Arial" w:hAnsi="Arial" w:cs="Arial"/>
            <w:noProof/>
            <w:sz w:val="18"/>
            <w:szCs w:val="18"/>
          </w:rPr>
          <w:t>Figure 7: Contribution of different bread types to iodine intake from breads (%) – Australian children 2-3 years old</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_Toc430854553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26</w:t>
        </w:r>
        <w:r w:rsidR="00B919E0" w:rsidRPr="00EF69D7">
          <w:rPr>
            <w:rFonts w:ascii="Arial" w:hAnsi="Arial" w:cs="Arial"/>
            <w:noProof/>
            <w:webHidden/>
            <w:sz w:val="18"/>
            <w:szCs w:val="18"/>
          </w:rPr>
          <w:fldChar w:fldCharType="end"/>
        </w:r>
      </w:hyperlink>
    </w:p>
    <w:p w14:paraId="0263CE2E"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4" w:history="1">
        <w:r w:rsidR="00B919E0" w:rsidRPr="00EF69D7">
          <w:rPr>
            <w:rStyle w:val="Hyperlink"/>
            <w:rFonts w:ascii="Arial" w:hAnsi="Arial" w:cs="Arial"/>
            <w:noProof/>
            <w:sz w:val="18"/>
            <w:szCs w:val="18"/>
          </w:rPr>
          <w:t>Figure 8: Contribution of different bread types to iodine intake from breads (%) – Australians 2</w:t>
        </w:r>
        <w:r w:rsidR="00B919E0" w:rsidRPr="00EF69D7">
          <w:rPr>
            <w:rStyle w:val="Hyperlink"/>
            <w:rFonts w:ascii="Arial" w:hAnsi="Arial" w:cs="Arial"/>
            <w:noProof/>
            <w:sz w:val="18"/>
            <w:szCs w:val="18"/>
          </w:rPr>
          <w:noBreakHyphen/>
          <w:t>16 years old</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_Toc430854554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26</w:t>
        </w:r>
        <w:r w:rsidR="00B919E0" w:rsidRPr="00EF69D7">
          <w:rPr>
            <w:rFonts w:ascii="Arial" w:hAnsi="Arial" w:cs="Arial"/>
            <w:noProof/>
            <w:webHidden/>
            <w:sz w:val="18"/>
            <w:szCs w:val="18"/>
          </w:rPr>
          <w:fldChar w:fldCharType="end"/>
        </w:r>
      </w:hyperlink>
    </w:p>
    <w:p w14:paraId="49E971DC"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5" w:history="1">
        <w:r w:rsidR="00B919E0" w:rsidRPr="00EF69D7">
          <w:rPr>
            <w:rStyle w:val="Hyperlink"/>
            <w:rFonts w:ascii="Arial" w:hAnsi="Arial" w:cs="Arial"/>
            <w:noProof/>
            <w:sz w:val="18"/>
            <w:szCs w:val="18"/>
          </w:rPr>
          <w:t>Figure 9: Contribution to estimated dietary iodine intake (%) - Australian females aged 16-44 years</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_Toc430854555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28</w:t>
        </w:r>
        <w:r w:rsidR="00B919E0" w:rsidRPr="00EF69D7">
          <w:rPr>
            <w:rFonts w:ascii="Arial" w:hAnsi="Arial" w:cs="Arial"/>
            <w:noProof/>
            <w:webHidden/>
            <w:sz w:val="18"/>
            <w:szCs w:val="18"/>
          </w:rPr>
          <w:fldChar w:fldCharType="end"/>
        </w:r>
      </w:hyperlink>
    </w:p>
    <w:p w14:paraId="1BC1D2C7"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6" w:history="1">
        <w:r w:rsidR="00B919E0" w:rsidRPr="00EF69D7">
          <w:rPr>
            <w:rStyle w:val="Hyperlink"/>
            <w:rFonts w:ascii="Arial" w:hAnsi="Arial" w:cs="Arial"/>
            <w:noProof/>
            <w:sz w:val="18"/>
            <w:szCs w:val="18"/>
          </w:rPr>
          <w:t>Figure 10: Contribution to estimated dietary iodine intake (%) - Australians 17 years and above</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_Toc430854556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28</w:t>
        </w:r>
        <w:r w:rsidR="00B919E0" w:rsidRPr="00EF69D7">
          <w:rPr>
            <w:rFonts w:ascii="Arial" w:hAnsi="Arial" w:cs="Arial"/>
            <w:noProof/>
            <w:webHidden/>
            <w:sz w:val="18"/>
            <w:szCs w:val="18"/>
          </w:rPr>
          <w:fldChar w:fldCharType="end"/>
        </w:r>
      </w:hyperlink>
    </w:p>
    <w:p w14:paraId="75BFDC34" w14:textId="77777777" w:rsidR="00B919E0"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4557" w:history="1">
        <w:r w:rsidR="00B919E0" w:rsidRPr="00EF69D7">
          <w:rPr>
            <w:rStyle w:val="Hyperlink"/>
            <w:rFonts w:ascii="Arial" w:hAnsi="Arial" w:cs="Arial"/>
            <w:noProof/>
            <w:sz w:val="18"/>
            <w:szCs w:val="18"/>
          </w:rPr>
          <w:t>Figure 11: Contribution of bread type to iodine intake from breads (%) - Australians 17 years old and above</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_Toc430854557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29</w:t>
        </w:r>
        <w:r w:rsidR="00B919E0" w:rsidRPr="00EF69D7">
          <w:rPr>
            <w:rFonts w:ascii="Arial" w:hAnsi="Arial" w:cs="Arial"/>
            <w:noProof/>
            <w:webHidden/>
            <w:sz w:val="18"/>
            <w:szCs w:val="18"/>
          </w:rPr>
          <w:fldChar w:fldCharType="end"/>
        </w:r>
      </w:hyperlink>
    </w:p>
    <w:p w14:paraId="5C6FB4C5" w14:textId="77777777" w:rsidR="00B919E0" w:rsidRPr="00EF69D7" w:rsidRDefault="001E1660">
      <w:pPr>
        <w:pStyle w:val="TableofFigures"/>
        <w:tabs>
          <w:tab w:val="right" w:pos="9060"/>
        </w:tabs>
        <w:rPr>
          <w:rFonts w:eastAsiaTheme="minorEastAsia"/>
          <w:caps w:val="0"/>
          <w:noProof/>
          <w:sz w:val="18"/>
          <w:szCs w:val="18"/>
          <w:lang w:eastAsia="en-GB"/>
        </w:rPr>
      </w:pPr>
      <w:hyperlink w:anchor="_Toc430854558" w:history="1">
        <w:r w:rsidR="00B919E0" w:rsidRPr="00EF69D7">
          <w:rPr>
            <w:rStyle w:val="Hyperlink"/>
            <w:rFonts w:ascii="Arial" w:hAnsi="Arial" w:cs="Arial"/>
            <w:noProof/>
            <w:sz w:val="18"/>
            <w:szCs w:val="18"/>
          </w:rPr>
          <w:t>Figure 12: Contribution of bread type to iodine intake from breads (%) - Australian females aged 16-44 years</w:t>
        </w:r>
        <w:r w:rsidR="00B919E0" w:rsidRPr="00EF69D7">
          <w:rPr>
            <w:rFonts w:ascii="Arial" w:hAnsi="Arial" w:cs="Arial"/>
            <w:noProof/>
            <w:webHidden/>
            <w:sz w:val="18"/>
            <w:szCs w:val="18"/>
          </w:rPr>
          <w:tab/>
        </w:r>
        <w:r w:rsidR="00B919E0" w:rsidRPr="00EF69D7">
          <w:rPr>
            <w:rFonts w:ascii="Arial" w:hAnsi="Arial" w:cs="Arial"/>
            <w:noProof/>
            <w:webHidden/>
            <w:sz w:val="18"/>
            <w:szCs w:val="18"/>
          </w:rPr>
          <w:fldChar w:fldCharType="begin"/>
        </w:r>
        <w:r w:rsidR="00B919E0" w:rsidRPr="00EF69D7">
          <w:rPr>
            <w:rFonts w:ascii="Arial" w:hAnsi="Arial" w:cs="Arial"/>
            <w:noProof/>
            <w:webHidden/>
            <w:sz w:val="18"/>
            <w:szCs w:val="18"/>
          </w:rPr>
          <w:instrText xml:space="preserve"> PAGEREF _Toc430854558 \h </w:instrText>
        </w:r>
        <w:r w:rsidR="00B919E0" w:rsidRPr="00EF69D7">
          <w:rPr>
            <w:rFonts w:ascii="Arial" w:hAnsi="Arial" w:cs="Arial"/>
            <w:noProof/>
            <w:webHidden/>
            <w:sz w:val="18"/>
            <w:szCs w:val="18"/>
          </w:rPr>
        </w:r>
        <w:r w:rsidR="00B919E0" w:rsidRPr="00EF69D7">
          <w:rPr>
            <w:rFonts w:ascii="Arial" w:hAnsi="Arial" w:cs="Arial"/>
            <w:noProof/>
            <w:webHidden/>
            <w:sz w:val="18"/>
            <w:szCs w:val="18"/>
          </w:rPr>
          <w:fldChar w:fldCharType="separate"/>
        </w:r>
        <w:r w:rsidR="00A41217">
          <w:rPr>
            <w:rFonts w:ascii="Arial" w:hAnsi="Arial" w:cs="Arial"/>
            <w:noProof/>
            <w:webHidden/>
            <w:sz w:val="18"/>
            <w:szCs w:val="18"/>
          </w:rPr>
          <w:t>29</w:t>
        </w:r>
        <w:r w:rsidR="00B919E0" w:rsidRPr="00EF69D7">
          <w:rPr>
            <w:rFonts w:ascii="Arial" w:hAnsi="Arial" w:cs="Arial"/>
            <w:noProof/>
            <w:webHidden/>
            <w:sz w:val="18"/>
            <w:szCs w:val="18"/>
          </w:rPr>
          <w:fldChar w:fldCharType="end"/>
        </w:r>
      </w:hyperlink>
    </w:p>
    <w:p w14:paraId="5F1D898A" w14:textId="77777777" w:rsidR="00EF69D7" w:rsidRPr="00EF69D7" w:rsidRDefault="00D47439" w:rsidP="00EF69D7">
      <w:pPr>
        <w:spacing w:line="240" w:lineRule="auto"/>
        <w:rPr>
          <w:rFonts w:ascii="Arial" w:hAnsi="Arial" w:cs="Arial"/>
          <w:caps/>
          <w:sz w:val="18"/>
          <w:szCs w:val="18"/>
        </w:rPr>
      </w:pPr>
      <w:r w:rsidRPr="00EF69D7">
        <w:rPr>
          <w:rFonts w:ascii="Arial" w:hAnsi="Arial" w:cs="Arial"/>
          <w:caps/>
          <w:sz w:val="18"/>
          <w:szCs w:val="18"/>
        </w:rPr>
        <w:fldChar w:fldCharType="end"/>
      </w:r>
    </w:p>
    <w:p w14:paraId="5D73480D" w14:textId="0B326C85" w:rsidR="000F4E2C" w:rsidRPr="00EF69D7" w:rsidRDefault="00622A8C" w:rsidP="003C7125">
      <w:pPr>
        <w:rPr>
          <w:rFonts w:ascii="Arial" w:hAnsi="Arial" w:cs="Arial"/>
          <w:caps/>
          <w:sz w:val="18"/>
          <w:szCs w:val="18"/>
        </w:rPr>
      </w:pPr>
      <w:r w:rsidRPr="00EF69D7">
        <w:rPr>
          <w:rFonts w:ascii="Arial" w:hAnsi="Arial" w:cs="Arial"/>
          <w:b/>
          <w:sz w:val="18"/>
          <w:szCs w:val="18"/>
          <w:u w:val="single"/>
        </w:rPr>
        <w:t>TABLES</w:t>
      </w:r>
      <w:r w:rsidR="00D82BEB" w:rsidRPr="00EF69D7">
        <w:rPr>
          <w:rFonts w:ascii="Arial" w:hAnsi="Arial" w:cs="Arial"/>
          <w:b/>
          <w:caps/>
          <w:sz w:val="18"/>
          <w:szCs w:val="18"/>
        </w:rPr>
        <w:tab/>
      </w:r>
    </w:p>
    <w:p w14:paraId="004C0FE8" w14:textId="77777777" w:rsidR="00C8555B" w:rsidRPr="00EF69D7" w:rsidRDefault="00D47439">
      <w:pPr>
        <w:pStyle w:val="TableofFigures"/>
        <w:tabs>
          <w:tab w:val="right" w:pos="9060"/>
        </w:tabs>
        <w:rPr>
          <w:rFonts w:ascii="Arial" w:eastAsiaTheme="minorEastAsia" w:hAnsi="Arial" w:cs="Arial"/>
          <w:caps w:val="0"/>
          <w:noProof/>
          <w:sz w:val="18"/>
          <w:szCs w:val="18"/>
          <w:lang w:eastAsia="en-GB"/>
        </w:rPr>
      </w:pPr>
      <w:r w:rsidRPr="00EF69D7">
        <w:rPr>
          <w:rFonts w:ascii="Arial" w:hAnsi="Arial" w:cs="Arial"/>
          <w:sz w:val="18"/>
          <w:szCs w:val="18"/>
        </w:rPr>
        <w:fldChar w:fldCharType="begin"/>
      </w:r>
      <w:r w:rsidRPr="00EF69D7">
        <w:rPr>
          <w:rFonts w:ascii="Arial" w:hAnsi="Arial" w:cs="Arial"/>
          <w:sz w:val="18"/>
          <w:szCs w:val="18"/>
        </w:rPr>
        <w:instrText xml:space="preserve"> TOC \h \z \c "Table" </w:instrText>
      </w:r>
      <w:r w:rsidRPr="00EF69D7">
        <w:rPr>
          <w:rFonts w:ascii="Arial" w:hAnsi="Arial" w:cs="Arial"/>
          <w:sz w:val="18"/>
          <w:szCs w:val="18"/>
        </w:rPr>
        <w:fldChar w:fldCharType="separate"/>
      </w:r>
      <w:hyperlink w:anchor="_Toc430856497" w:history="1">
        <w:r w:rsidR="00C8555B" w:rsidRPr="00EF69D7">
          <w:rPr>
            <w:rStyle w:val="Hyperlink"/>
            <w:rFonts w:ascii="Arial" w:hAnsi="Arial" w:cs="Arial"/>
            <w:noProof/>
            <w:sz w:val="18"/>
            <w:szCs w:val="18"/>
          </w:rPr>
          <w:t>Table 1: Summary data all surveys - amount of analysed iodine in the bread samples</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_Toc430856497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9</w:t>
        </w:r>
        <w:r w:rsidR="00C8555B" w:rsidRPr="00EF69D7">
          <w:rPr>
            <w:rFonts w:ascii="Arial" w:hAnsi="Arial" w:cs="Arial"/>
            <w:noProof/>
            <w:webHidden/>
            <w:sz w:val="18"/>
            <w:szCs w:val="18"/>
          </w:rPr>
          <w:fldChar w:fldCharType="end"/>
        </w:r>
      </w:hyperlink>
    </w:p>
    <w:p w14:paraId="010ADCE6"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498" w:history="1">
        <w:r w:rsidR="00C8555B" w:rsidRPr="00EF69D7">
          <w:rPr>
            <w:rStyle w:val="Hyperlink"/>
            <w:rFonts w:ascii="Arial" w:hAnsi="Arial" w:cs="Arial"/>
            <w:noProof/>
            <w:sz w:val="18"/>
            <w:szCs w:val="18"/>
          </w:rPr>
          <w:t>Table 2: Iodine and moisture content of FSANZ prepared unfortified* bread samples - bread survey 2</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_Toc430856498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9</w:t>
        </w:r>
        <w:r w:rsidR="00C8555B" w:rsidRPr="00EF69D7">
          <w:rPr>
            <w:rFonts w:ascii="Arial" w:hAnsi="Arial" w:cs="Arial"/>
            <w:noProof/>
            <w:webHidden/>
            <w:sz w:val="18"/>
            <w:szCs w:val="18"/>
          </w:rPr>
          <w:fldChar w:fldCharType="end"/>
        </w:r>
      </w:hyperlink>
    </w:p>
    <w:p w14:paraId="18C91E14"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499" w:history="1">
        <w:r w:rsidR="00C8555B" w:rsidRPr="00EF69D7">
          <w:rPr>
            <w:rStyle w:val="Hyperlink"/>
            <w:rFonts w:ascii="Arial" w:hAnsi="Arial" w:cs="Arial"/>
            <w:noProof/>
            <w:sz w:val="18"/>
            <w:szCs w:val="18"/>
          </w:rPr>
          <w:t>Table 3: Estimated mean usual dietary iodine intake for Australians 2 years and above</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_Toc430856499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13</w:t>
        </w:r>
        <w:r w:rsidR="00C8555B" w:rsidRPr="00EF69D7">
          <w:rPr>
            <w:rFonts w:ascii="Arial" w:hAnsi="Arial" w:cs="Arial"/>
            <w:noProof/>
            <w:webHidden/>
            <w:sz w:val="18"/>
            <w:szCs w:val="18"/>
          </w:rPr>
          <w:fldChar w:fldCharType="end"/>
        </w:r>
      </w:hyperlink>
    </w:p>
    <w:p w14:paraId="7693A1CB"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500" w:history="1">
        <w:r w:rsidR="00C8555B" w:rsidRPr="00EF69D7">
          <w:rPr>
            <w:rStyle w:val="Hyperlink"/>
            <w:rFonts w:ascii="Arial" w:hAnsi="Arial" w:cs="Arial"/>
            <w:noProof/>
            <w:sz w:val="18"/>
            <w:szCs w:val="18"/>
          </w:rPr>
          <w:t>Table 4: Percent increases in estimated mean usual dietary iodine intake of Australians by age group and gender</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_Toc430856500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16</w:t>
        </w:r>
        <w:r w:rsidR="00C8555B" w:rsidRPr="00EF69D7">
          <w:rPr>
            <w:rFonts w:ascii="Arial" w:hAnsi="Arial" w:cs="Arial"/>
            <w:noProof/>
            <w:webHidden/>
            <w:sz w:val="18"/>
            <w:szCs w:val="18"/>
          </w:rPr>
          <w:fldChar w:fldCharType="end"/>
        </w:r>
      </w:hyperlink>
    </w:p>
    <w:p w14:paraId="18B2D492"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501" w:history="1">
        <w:r w:rsidR="00C8555B" w:rsidRPr="00EF69D7">
          <w:rPr>
            <w:rStyle w:val="Hyperlink"/>
            <w:rFonts w:ascii="Arial" w:hAnsi="Arial" w:cs="Arial"/>
            <w:noProof/>
            <w:sz w:val="18"/>
            <w:szCs w:val="18"/>
          </w:rPr>
          <w:t>Table 5: Estimated mean, 5th and 95th percentile usual dietary iodine intake values for Australians</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_Toc430856501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18</w:t>
        </w:r>
        <w:r w:rsidR="00C8555B" w:rsidRPr="00EF69D7">
          <w:rPr>
            <w:rFonts w:ascii="Arial" w:hAnsi="Arial" w:cs="Arial"/>
            <w:noProof/>
            <w:webHidden/>
            <w:sz w:val="18"/>
            <w:szCs w:val="18"/>
          </w:rPr>
          <w:fldChar w:fldCharType="end"/>
        </w:r>
      </w:hyperlink>
    </w:p>
    <w:p w14:paraId="1F91A734"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502" w:history="1">
        <w:r w:rsidR="00C8555B" w:rsidRPr="00EF69D7">
          <w:rPr>
            <w:rStyle w:val="Hyperlink"/>
            <w:rFonts w:ascii="Arial" w:hAnsi="Arial" w:cs="Arial"/>
            <w:noProof/>
            <w:sz w:val="18"/>
            <w:szCs w:val="18"/>
          </w:rPr>
          <w:t>Table 6: Proportion of Australians estimated to have dietary iodine intake below the EAR</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_Toc430856502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20</w:t>
        </w:r>
        <w:r w:rsidR="00C8555B" w:rsidRPr="00EF69D7">
          <w:rPr>
            <w:rFonts w:ascii="Arial" w:hAnsi="Arial" w:cs="Arial"/>
            <w:noProof/>
            <w:webHidden/>
            <w:sz w:val="18"/>
            <w:szCs w:val="18"/>
          </w:rPr>
          <w:fldChar w:fldCharType="end"/>
        </w:r>
      </w:hyperlink>
    </w:p>
    <w:p w14:paraId="31C83847"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503" w:history="1">
        <w:r w:rsidR="00C8555B" w:rsidRPr="00EF69D7">
          <w:rPr>
            <w:rStyle w:val="Hyperlink"/>
            <w:rFonts w:ascii="Arial" w:hAnsi="Arial" w:cs="Arial"/>
            <w:noProof/>
            <w:sz w:val="18"/>
            <w:szCs w:val="18"/>
          </w:rPr>
          <w:t>Table 7: Proportion of Australians with dietary iodine intake above the UL</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_Toc430856503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22</w:t>
        </w:r>
        <w:r w:rsidR="00C8555B" w:rsidRPr="00EF69D7">
          <w:rPr>
            <w:rFonts w:ascii="Arial" w:hAnsi="Arial" w:cs="Arial"/>
            <w:noProof/>
            <w:webHidden/>
            <w:sz w:val="18"/>
            <w:szCs w:val="18"/>
          </w:rPr>
          <w:fldChar w:fldCharType="end"/>
        </w:r>
      </w:hyperlink>
    </w:p>
    <w:p w14:paraId="6923D315" w14:textId="77777777" w:rsidR="00C8555B" w:rsidRPr="00EF69D7" w:rsidRDefault="001E1660">
      <w:pPr>
        <w:pStyle w:val="TableofFigures"/>
        <w:tabs>
          <w:tab w:val="right" w:pos="9060"/>
        </w:tabs>
        <w:rPr>
          <w:rFonts w:ascii="Arial" w:eastAsiaTheme="minorEastAsia" w:hAnsi="Arial" w:cs="Arial"/>
          <w:caps w:val="0"/>
          <w:noProof/>
          <w:sz w:val="18"/>
          <w:szCs w:val="18"/>
          <w:lang w:eastAsia="en-GB"/>
        </w:rPr>
      </w:pPr>
      <w:hyperlink w:anchor="_Toc430856504" w:history="1">
        <w:r w:rsidR="00C8555B" w:rsidRPr="00EF69D7">
          <w:rPr>
            <w:rStyle w:val="Hyperlink"/>
            <w:rFonts w:ascii="Arial" w:hAnsi="Arial" w:cs="Arial"/>
            <w:noProof/>
            <w:sz w:val="18"/>
            <w:szCs w:val="18"/>
          </w:rPr>
          <w:t>Table 8: Then four major food contributors to estimated iodine intake - Australian adults and female of child-bearing age</w:t>
        </w:r>
        <w:r w:rsidR="00C8555B" w:rsidRPr="00EF69D7">
          <w:rPr>
            <w:rFonts w:ascii="Arial" w:hAnsi="Arial" w:cs="Arial"/>
            <w:noProof/>
            <w:webHidden/>
            <w:sz w:val="18"/>
            <w:szCs w:val="18"/>
          </w:rPr>
          <w:tab/>
        </w:r>
        <w:r w:rsidR="00C8555B" w:rsidRPr="00EF69D7">
          <w:rPr>
            <w:rFonts w:ascii="Arial" w:hAnsi="Arial" w:cs="Arial"/>
            <w:noProof/>
            <w:webHidden/>
            <w:sz w:val="18"/>
            <w:szCs w:val="18"/>
          </w:rPr>
          <w:fldChar w:fldCharType="begin"/>
        </w:r>
        <w:r w:rsidR="00C8555B" w:rsidRPr="00EF69D7">
          <w:rPr>
            <w:rFonts w:ascii="Arial" w:hAnsi="Arial" w:cs="Arial"/>
            <w:noProof/>
            <w:webHidden/>
            <w:sz w:val="18"/>
            <w:szCs w:val="18"/>
          </w:rPr>
          <w:instrText xml:space="preserve"> PAGEREF _Toc430856504 \h </w:instrText>
        </w:r>
        <w:r w:rsidR="00C8555B" w:rsidRPr="00EF69D7">
          <w:rPr>
            <w:rFonts w:ascii="Arial" w:hAnsi="Arial" w:cs="Arial"/>
            <w:noProof/>
            <w:webHidden/>
            <w:sz w:val="18"/>
            <w:szCs w:val="18"/>
          </w:rPr>
        </w:r>
        <w:r w:rsidR="00C8555B" w:rsidRPr="00EF69D7">
          <w:rPr>
            <w:rFonts w:ascii="Arial" w:hAnsi="Arial" w:cs="Arial"/>
            <w:noProof/>
            <w:webHidden/>
            <w:sz w:val="18"/>
            <w:szCs w:val="18"/>
          </w:rPr>
          <w:fldChar w:fldCharType="separate"/>
        </w:r>
        <w:r w:rsidR="00A41217">
          <w:rPr>
            <w:rFonts w:ascii="Arial" w:hAnsi="Arial" w:cs="Arial"/>
            <w:noProof/>
            <w:webHidden/>
            <w:sz w:val="18"/>
            <w:szCs w:val="18"/>
          </w:rPr>
          <w:t>27</w:t>
        </w:r>
        <w:r w:rsidR="00C8555B" w:rsidRPr="00EF69D7">
          <w:rPr>
            <w:rFonts w:ascii="Arial" w:hAnsi="Arial" w:cs="Arial"/>
            <w:noProof/>
            <w:webHidden/>
            <w:sz w:val="18"/>
            <w:szCs w:val="18"/>
          </w:rPr>
          <w:fldChar w:fldCharType="end"/>
        </w:r>
      </w:hyperlink>
    </w:p>
    <w:p w14:paraId="5D734816" w14:textId="77777777" w:rsidR="005362F0" w:rsidRPr="00EF69D7" w:rsidRDefault="00D47439" w:rsidP="00CC5193">
      <w:pPr>
        <w:rPr>
          <w:rFonts w:ascii="Arial" w:eastAsiaTheme="majorEastAsia" w:hAnsi="Arial" w:cs="Arial"/>
          <w:sz w:val="18"/>
          <w:szCs w:val="18"/>
        </w:rPr>
      </w:pPr>
      <w:r w:rsidRPr="00EF69D7">
        <w:rPr>
          <w:rFonts w:ascii="Arial" w:hAnsi="Arial" w:cs="Arial"/>
          <w:sz w:val="18"/>
          <w:szCs w:val="18"/>
        </w:rPr>
        <w:fldChar w:fldCharType="end"/>
      </w:r>
      <w:r w:rsidR="00CA2AD9" w:rsidRPr="00EF69D7">
        <w:rPr>
          <w:rFonts w:ascii="Arial" w:hAnsi="Arial" w:cs="Arial"/>
          <w:sz w:val="18"/>
          <w:szCs w:val="18"/>
        </w:rPr>
        <w:br w:type="page"/>
      </w:r>
    </w:p>
    <w:p w14:paraId="5D734817" w14:textId="77777777" w:rsidR="005362F0" w:rsidRPr="00EF198C" w:rsidRDefault="008A570B" w:rsidP="00CC5193">
      <w:pPr>
        <w:pStyle w:val="Heading1"/>
        <w:spacing w:after="200"/>
        <w:ind w:left="0" w:firstLine="0"/>
        <w:rPr>
          <w:rFonts w:ascii="Arial" w:hAnsi="Arial" w:cs="Arial"/>
          <w:sz w:val="24"/>
          <w:szCs w:val="24"/>
        </w:rPr>
      </w:pPr>
      <w:bookmarkStart w:id="0" w:name="_Toc430854491"/>
      <w:r w:rsidRPr="00EF198C">
        <w:rPr>
          <w:rFonts w:ascii="Arial" w:hAnsi="Arial" w:cs="Arial"/>
          <w:sz w:val="24"/>
          <w:szCs w:val="24"/>
        </w:rPr>
        <w:lastRenderedPageBreak/>
        <w:t>Executive Summary</w:t>
      </w:r>
      <w:bookmarkEnd w:id="0"/>
    </w:p>
    <w:p w14:paraId="5D734818" w14:textId="77777777" w:rsidR="005362F0" w:rsidRPr="00FD51EC" w:rsidRDefault="005362F0" w:rsidP="00CC5193">
      <w:pPr>
        <w:rPr>
          <w:rFonts w:ascii="Arial" w:hAnsi="Arial" w:cs="Arial"/>
          <w:sz w:val="22"/>
        </w:rPr>
      </w:pPr>
      <w:r w:rsidRPr="00FD51EC">
        <w:rPr>
          <w:rFonts w:ascii="Arial" w:hAnsi="Arial" w:cs="Arial"/>
          <w:sz w:val="22"/>
        </w:rPr>
        <w:t xml:space="preserve">This report provides </w:t>
      </w:r>
      <w:r w:rsidR="008D701D" w:rsidRPr="00FD51EC">
        <w:rPr>
          <w:rFonts w:ascii="Arial" w:hAnsi="Arial" w:cs="Arial"/>
          <w:sz w:val="22"/>
        </w:rPr>
        <w:t xml:space="preserve">results of </w:t>
      </w:r>
      <w:r w:rsidR="00C768D1">
        <w:rPr>
          <w:rFonts w:ascii="Arial" w:hAnsi="Arial" w:cs="Arial"/>
          <w:sz w:val="22"/>
        </w:rPr>
        <w:t>analysis of</w:t>
      </w:r>
      <w:r w:rsidR="008D701D" w:rsidRPr="00FD51EC">
        <w:rPr>
          <w:rFonts w:ascii="Arial" w:hAnsi="Arial" w:cs="Arial"/>
          <w:sz w:val="22"/>
        </w:rPr>
        <w:t xml:space="preserve"> </w:t>
      </w:r>
      <w:r w:rsidR="00C768D1">
        <w:rPr>
          <w:rFonts w:ascii="Arial" w:hAnsi="Arial" w:cs="Arial"/>
          <w:sz w:val="22"/>
        </w:rPr>
        <w:t xml:space="preserve">the </w:t>
      </w:r>
      <w:r w:rsidR="00057E13">
        <w:rPr>
          <w:rFonts w:ascii="Arial" w:hAnsi="Arial" w:cs="Arial"/>
          <w:sz w:val="22"/>
        </w:rPr>
        <w:t>iodi</w:t>
      </w:r>
      <w:r w:rsidR="00C768D1">
        <w:rPr>
          <w:rFonts w:ascii="Arial" w:hAnsi="Arial" w:cs="Arial"/>
          <w:sz w:val="22"/>
        </w:rPr>
        <w:t xml:space="preserve">ne content of </w:t>
      </w:r>
      <w:r w:rsidR="008D701D" w:rsidRPr="00FD51EC">
        <w:rPr>
          <w:rFonts w:ascii="Arial" w:hAnsi="Arial" w:cs="Arial"/>
          <w:sz w:val="22"/>
        </w:rPr>
        <w:t>bread</w:t>
      </w:r>
      <w:r w:rsidR="00BC43EA">
        <w:rPr>
          <w:rFonts w:ascii="Arial" w:hAnsi="Arial" w:cs="Arial"/>
          <w:sz w:val="22"/>
        </w:rPr>
        <w:t>s commonly</w:t>
      </w:r>
      <w:r w:rsidR="008D701D" w:rsidRPr="00FD51EC">
        <w:rPr>
          <w:rFonts w:ascii="Arial" w:hAnsi="Arial" w:cs="Arial"/>
          <w:sz w:val="22"/>
        </w:rPr>
        <w:t xml:space="preserve"> eaten by Australian</w:t>
      </w:r>
      <w:r w:rsidR="007E5185">
        <w:rPr>
          <w:rFonts w:ascii="Arial" w:hAnsi="Arial" w:cs="Arial"/>
          <w:sz w:val="22"/>
        </w:rPr>
        <w:t>s</w:t>
      </w:r>
      <w:r w:rsidR="00BC43EA">
        <w:rPr>
          <w:rFonts w:ascii="Arial" w:hAnsi="Arial" w:cs="Arial"/>
          <w:sz w:val="22"/>
        </w:rPr>
        <w:t>,</w:t>
      </w:r>
      <w:r w:rsidR="00057E13">
        <w:rPr>
          <w:rFonts w:ascii="Arial" w:hAnsi="Arial" w:cs="Arial"/>
          <w:sz w:val="22"/>
        </w:rPr>
        <w:t xml:space="preserve"> </w:t>
      </w:r>
      <w:r w:rsidR="008D701D" w:rsidRPr="00FD51EC">
        <w:rPr>
          <w:rFonts w:ascii="Arial" w:hAnsi="Arial" w:cs="Arial"/>
          <w:sz w:val="22"/>
        </w:rPr>
        <w:t xml:space="preserve">and </w:t>
      </w:r>
      <w:r w:rsidRPr="00FD51EC">
        <w:rPr>
          <w:rFonts w:ascii="Arial" w:hAnsi="Arial" w:cs="Arial"/>
          <w:sz w:val="22"/>
        </w:rPr>
        <w:t xml:space="preserve">estimates of the population’s intake of dietary iodine following implementation of the food standard for the mandatory use of iodised salt in making bread. </w:t>
      </w:r>
      <w:r w:rsidR="00531E5D">
        <w:rPr>
          <w:rFonts w:ascii="Arial" w:hAnsi="Arial" w:cs="Arial"/>
          <w:sz w:val="22"/>
        </w:rPr>
        <w:t>Food Standards Australia New Zealand (</w:t>
      </w:r>
      <w:r w:rsidRPr="00FD51EC">
        <w:rPr>
          <w:rFonts w:ascii="Arial" w:hAnsi="Arial" w:cs="Arial"/>
          <w:sz w:val="22"/>
        </w:rPr>
        <w:t>FSANZ</w:t>
      </w:r>
      <w:r w:rsidR="00531E5D">
        <w:rPr>
          <w:rFonts w:ascii="Arial" w:hAnsi="Arial" w:cs="Arial"/>
          <w:sz w:val="22"/>
        </w:rPr>
        <w:t>)</w:t>
      </w:r>
      <w:r w:rsidRPr="00FD51EC">
        <w:rPr>
          <w:rFonts w:ascii="Arial" w:hAnsi="Arial" w:cs="Arial"/>
          <w:sz w:val="22"/>
        </w:rPr>
        <w:t xml:space="preserve"> undertook </w:t>
      </w:r>
      <w:r w:rsidR="00C768D1">
        <w:rPr>
          <w:rFonts w:ascii="Arial" w:hAnsi="Arial" w:cs="Arial"/>
          <w:sz w:val="22"/>
        </w:rPr>
        <w:t xml:space="preserve">this work as </w:t>
      </w:r>
      <w:r w:rsidR="001432FB">
        <w:rPr>
          <w:rFonts w:ascii="Arial" w:hAnsi="Arial" w:cs="Arial"/>
          <w:sz w:val="22"/>
        </w:rPr>
        <w:t>part of its contribution to</w:t>
      </w:r>
      <w:r w:rsidR="00C768D1">
        <w:rPr>
          <w:rFonts w:ascii="Arial" w:hAnsi="Arial" w:cs="Arial"/>
          <w:sz w:val="22"/>
        </w:rPr>
        <w:t xml:space="preserve"> </w:t>
      </w:r>
      <w:r w:rsidR="001432FB">
        <w:rPr>
          <w:rFonts w:ascii="Arial" w:hAnsi="Arial" w:cs="Arial"/>
          <w:sz w:val="22"/>
        </w:rPr>
        <w:t>the</w:t>
      </w:r>
      <w:r w:rsidR="00C768D1">
        <w:rPr>
          <w:rFonts w:ascii="Arial" w:hAnsi="Arial" w:cs="Arial"/>
          <w:sz w:val="22"/>
        </w:rPr>
        <w:t xml:space="preserve"> </w:t>
      </w:r>
      <w:r w:rsidRPr="00FD51EC">
        <w:rPr>
          <w:rFonts w:ascii="Arial" w:hAnsi="Arial" w:cs="Arial"/>
          <w:sz w:val="22"/>
        </w:rPr>
        <w:t xml:space="preserve">monitoring </w:t>
      </w:r>
      <w:r w:rsidR="00C768D1">
        <w:rPr>
          <w:rFonts w:ascii="Arial" w:hAnsi="Arial" w:cs="Arial"/>
          <w:sz w:val="22"/>
        </w:rPr>
        <w:t xml:space="preserve">program </w:t>
      </w:r>
      <w:r w:rsidR="00057E13">
        <w:rPr>
          <w:rFonts w:ascii="Arial" w:hAnsi="Arial" w:cs="Arial"/>
          <w:sz w:val="22"/>
        </w:rPr>
        <w:t xml:space="preserve">of </w:t>
      </w:r>
      <w:r w:rsidR="002610A1">
        <w:rPr>
          <w:rFonts w:ascii="Arial" w:hAnsi="Arial" w:cs="Arial"/>
          <w:sz w:val="22"/>
        </w:rPr>
        <w:t xml:space="preserve">the </w:t>
      </w:r>
      <w:r w:rsidR="00237AC1">
        <w:rPr>
          <w:rFonts w:ascii="Arial" w:hAnsi="Arial" w:cs="Arial"/>
          <w:sz w:val="22"/>
        </w:rPr>
        <w:t xml:space="preserve">impact of the </w:t>
      </w:r>
      <w:r w:rsidR="00662368">
        <w:rPr>
          <w:rFonts w:ascii="Arial" w:hAnsi="Arial" w:cs="Arial"/>
          <w:sz w:val="22"/>
        </w:rPr>
        <w:t xml:space="preserve">mandatory </w:t>
      </w:r>
      <w:r w:rsidR="008D701D" w:rsidRPr="00FD51EC">
        <w:rPr>
          <w:rFonts w:ascii="Arial" w:hAnsi="Arial" w:cs="Arial"/>
          <w:sz w:val="22"/>
        </w:rPr>
        <w:t>fortification standard</w:t>
      </w:r>
      <w:r w:rsidR="00EC3C7B">
        <w:rPr>
          <w:rFonts w:ascii="Arial" w:hAnsi="Arial" w:cs="Arial"/>
          <w:sz w:val="22"/>
        </w:rPr>
        <w:t>, Standard 2.1.1</w:t>
      </w:r>
      <w:r w:rsidRPr="00FD51EC">
        <w:rPr>
          <w:rFonts w:ascii="Arial" w:hAnsi="Arial" w:cs="Arial"/>
          <w:sz w:val="22"/>
        </w:rPr>
        <w:t xml:space="preserve"> </w:t>
      </w:r>
      <w:r w:rsidR="00EC3C7B" w:rsidRPr="00EC3C7B">
        <w:rPr>
          <w:rFonts w:ascii="Arial" w:hAnsi="Arial" w:cs="Arial"/>
          <w:i/>
          <w:sz w:val="22"/>
        </w:rPr>
        <w:t>Cereals and cereal products</w:t>
      </w:r>
      <w:r w:rsidR="00EC3C7B">
        <w:rPr>
          <w:rFonts w:ascii="Arial" w:hAnsi="Arial" w:cs="Arial"/>
          <w:sz w:val="22"/>
        </w:rPr>
        <w:t>.</w:t>
      </w:r>
    </w:p>
    <w:p w14:paraId="5D734819" w14:textId="21D9D37D" w:rsidR="00C768D1" w:rsidRPr="00FD51EC" w:rsidRDefault="00C768D1" w:rsidP="00CC5193">
      <w:pPr>
        <w:rPr>
          <w:rFonts w:ascii="Arial" w:hAnsi="Arial" w:cs="Arial"/>
          <w:sz w:val="22"/>
        </w:rPr>
      </w:pPr>
      <w:r w:rsidRPr="00FD51EC">
        <w:rPr>
          <w:rFonts w:ascii="Arial" w:hAnsi="Arial" w:cs="Arial"/>
          <w:sz w:val="22"/>
        </w:rPr>
        <w:t>Mandatory iodine fortification of bread</w:t>
      </w:r>
      <w:r w:rsidR="009E5B07">
        <w:rPr>
          <w:rFonts w:ascii="Arial" w:hAnsi="Arial" w:cs="Arial"/>
          <w:sz w:val="22"/>
        </w:rPr>
        <w:t>,</w:t>
      </w:r>
      <w:r w:rsidRPr="00FD51EC">
        <w:rPr>
          <w:rFonts w:ascii="Arial" w:hAnsi="Arial" w:cs="Arial"/>
          <w:sz w:val="22"/>
        </w:rPr>
        <w:t xml:space="preserve"> through the replacement of salt with iodised salt in the making of bread</w:t>
      </w:r>
      <w:r w:rsidR="009E5B07">
        <w:rPr>
          <w:rFonts w:ascii="Arial" w:hAnsi="Arial" w:cs="Arial"/>
          <w:sz w:val="22"/>
        </w:rPr>
        <w:t>,</w:t>
      </w:r>
      <w:r w:rsidRPr="00FD51EC">
        <w:rPr>
          <w:rFonts w:ascii="Arial" w:hAnsi="Arial" w:cs="Arial"/>
          <w:sz w:val="22"/>
        </w:rPr>
        <w:t xml:space="preserve"> was implemented in October 2009 in Australia</w:t>
      </w:r>
      <w:r w:rsidR="002C245A">
        <w:rPr>
          <w:rFonts w:ascii="Arial" w:hAnsi="Arial" w:cs="Arial"/>
          <w:sz w:val="22"/>
        </w:rPr>
        <w:t xml:space="preserve"> and in November 2009 in New Zealand</w:t>
      </w:r>
      <w:r w:rsidRPr="00FD51EC">
        <w:rPr>
          <w:rFonts w:ascii="Arial" w:hAnsi="Arial" w:cs="Arial"/>
          <w:sz w:val="22"/>
        </w:rPr>
        <w:t xml:space="preserve">. The standard aimed to improve the iodine status of </w:t>
      </w:r>
      <w:r>
        <w:rPr>
          <w:rFonts w:ascii="Arial" w:hAnsi="Arial" w:cs="Arial"/>
          <w:sz w:val="22"/>
        </w:rPr>
        <w:t xml:space="preserve">the population, particularly </w:t>
      </w:r>
      <w:r w:rsidR="006D73C5">
        <w:rPr>
          <w:rFonts w:ascii="Arial" w:hAnsi="Arial" w:cs="Arial"/>
          <w:sz w:val="22"/>
        </w:rPr>
        <w:t xml:space="preserve">in </w:t>
      </w:r>
      <w:r w:rsidRPr="00FD51EC">
        <w:rPr>
          <w:rFonts w:ascii="Arial" w:hAnsi="Arial" w:cs="Arial"/>
          <w:sz w:val="22"/>
        </w:rPr>
        <w:t xml:space="preserve">young children, </w:t>
      </w:r>
      <w:r w:rsidR="00F343F7">
        <w:rPr>
          <w:rFonts w:ascii="Arial" w:hAnsi="Arial" w:cs="Arial"/>
          <w:sz w:val="22"/>
        </w:rPr>
        <w:t>females</w:t>
      </w:r>
      <w:r w:rsidRPr="00FD51EC">
        <w:rPr>
          <w:rFonts w:ascii="Arial" w:hAnsi="Arial" w:cs="Arial"/>
          <w:sz w:val="22"/>
        </w:rPr>
        <w:t xml:space="preserve"> of child-bearing a</w:t>
      </w:r>
      <w:r>
        <w:rPr>
          <w:rFonts w:ascii="Arial" w:hAnsi="Arial" w:cs="Arial"/>
          <w:sz w:val="22"/>
        </w:rPr>
        <w:t xml:space="preserve">ge and breast-feeding </w:t>
      </w:r>
      <w:r w:rsidR="00F343F7">
        <w:rPr>
          <w:rFonts w:ascii="Arial" w:hAnsi="Arial" w:cs="Arial"/>
          <w:sz w:val="22"/>
        </w:rPr>
        <w:t>females</w:t>
      </w:r>
      <w:r w:rsidR="009E5B07">
        <w:rPr>
          <w:rFonts w:ascii="Arial" w:hAnsi="Arial" w:cs="Arial"/>
          <w:sz w:val="22"/>
        </w:rPr>
        <w:t>,</w:t>
      </w:r>
      <w:r>
        <w:rPr>
          <w:rFonts w:ascii="Arial" w:hAnsi="Arial" w:cs="Arial"/>
          <w:sz w:val="22"/>
        </w:rPr>
        <w:t xml:space="preserve"> to reduce</w:t>
      </w:r>
      <w:r w:rsidRPr="00FD51EC">
        <w:rPr>
          <w:rFonts w:ascii="Arial" w:hAnsi="Arial" w:cs="Arial"/>
          <w:sz w:val="22"/>
        </w:rPr>
        <w:t xml:space="preserve"> the incidence of iodine-deficiency health problems</w:t>
      </w:r>
      <w:r>
        <w:rPr>
          <w:rFonts w:ascii="Arial" w:hAnsi="Arial" w:cs="Arial"/>
          <w:sz w:val="22"/>
        </w:rPr>
        <w:t>,</w:t>
      </w:r>
      <w:r w:rsidRPr="00FD51EC">
        <w:rPr>
          <w:rFonts w:ascii="Arial" w:hAnsi="Arial" w:cs="Arial"/>
          <w:sz w:val="22"/>
        </w:rPr>
        <w:t xml:space="preserve"> </w:t>
      </w:r>
      <w:r>
        <w:rPr>
          <w:rFonts w:ascii="Arial" w:hAnsi="Arial" w:cs="Arial"/>
          <w:sz w:val="22"/>
        </w:rPr>
        <w:t>including</w:t>
      </w:r>
      <w:r w:rsidRPr="00FD51EC">
        <w:rPr>
          <w:rFonts w:ascii="Arial" w:hAnsi="Arial" w:cs="Arial"/>
          <w:sz w:val="22"/>
        </w:rPr>
        <w:t xml:space="preserve"> impaired neurological conditions in children.</w:t>
      </w:r>
      <w:r w:rsidR="00786766">
        <w:rPr>
          <w:rFonts w:ascii="Arial" w:hAnsi="Arial" w:cs="Arial"/>
          <w:sz w:val="22"/>
        </w:rPr>
        <w:t xml:space="preserve"> </w:t>
      </w:r>
      <w:r w:rsidRPr="00FD51EC">
        <w:rPr>
          <w:rFonts w:ascii="Arial" w:hAnsi="Arial" w:cs="Arial"/>
          <w:sz w:val="22"/>
        </w:rPr>
        <w:t xml:space="preserve">Bread was selected as the food vehicle for mandatory iodine fortification because it is widely consumed by all Australians </w:t>
      </w:r>
      <w:r w:rsidR="002C245A">
        <w:rPr>
          <w:rFonts w:ascii="Arial" w:hAnsi="Arial" w:cs="Arial"/>
          <w:sz w:val="22"/>
        </w:rPr>
        <w:t xml:space="preserve">and New Zealanders </w:t>
      </w:r>
      <w:r w:rsidRPr="00FD51EC">
        <w:rPr>
          <w:rFonts w:ascii="Arial" w:hAnsi="Arial" w:cs="Arial"/>
          <w:sz w:val="22"/>
        </w:rPr>
        <w:t xml:space="preserve">including the target groups. </w:t>
      </w:r>
    </w:p>
    <w:p w14:paraId="5D73481A" w14:textId="77777777" w:rsidR="00EC3C7B" w:rsidRDefault="00A33288" w:rsidP="00CC5193">
      <w:pPr>
        <w:rPr>
          <w:rFonts w:ascii="Arial" w:hAnsi="Arial" w:cs="Arial"/>
          <w:sz w:val="22"/>
        </w:rPr>
      </w:pPr>
      <w:r w:rsidRPr="00FD51EC">
        <w:rPr>
          <w:rFonts w:ascii="Arial" w:hAnsi="Arial" w:cs="Arial"/>
          <w:sz w:val="22"/>
        </w:rPr>
        <w:t xml:space="preserve">Monitoring the </w:t>
      </w:r>
      <w:r w:rsidR="00D43F2C">
        <w:rPr>
          <w:rFonts w:ascii="Arial" w:hAnsi="Arial" w:cs="Arial"/>
          <w:sz w:val="22"/>
        </w:rPr>
        <w:t xml:space="preserve">impact of the </w:t>
      </w:r>
      <w:r w:rsidRPr="00FD51EC">
        <w:rPr>
          <w:rFonts w:ascii="Arial" w:hAnsi="Arial" w:cs="Arial"/>
          <w:sz w:val="22"/>
        </w:rPr>
        <w:t>mandatory fortification standard is an integral part of the standard implementation</w:t>
      </w:r>
      <w:r w:rsidR="00D43F2C">
        <w:rPr>
          <w:rFonts w:ascii="Arial" w:hAnsi="Arial" w:cs="Arial"/>
          <w:sz w:val="22"/>
        </w:rPr>
        <w:t>, as t</w:t>
      </w:r>
      <w:r w:rsidR="007E5185">
        <w:rPr>
          <w:rFonts w:ascii="Arial" w:hAnsi="Arial" w:cs="Arial"/>
          <w:sz w:val="22"/>
        </w:rPr>
        <w:t>he policy guideline for</w:t>
      </w:r>
      <w:r w:rsidRPr="00FD51EC">
        <w:rPr>
          <w:rFonts w:ascii="Arial" w:hAnsi="Arial" w:cs="Arial"/>
          <w:sz w:val="22"/>
        </w:rPr>
        <w:t xml:space="preserve"> fortification of food with vitamins and minerals </w:t>
      </w:r>
      <w:r w:rsidR="00D43F2C">
        <w:rPr>
          <w:rFonts w:ascii="Arial" w:hAnsi="Arial" w:cs="Arial"/>
          <w:sz w:val="22"/>
        </w:rPr>
        <w:t>specifies that: ‘</w:t>
      </w:r>
      <w:r w:rsidR="00D43F2C" w:rsidRPr="00D43F2C">
        <w:rPr>
          <w:rFonts w:ascii="Arial" w:hAnsi="Arial" w:cs="Arial"/>
          <w:i/>
          <w:sz w:val="22"/>
        </w:rPr>
        <w:t>a</w:t>
      </w:r>
      <w:r w:rsidR="00D43F2C" w:rsidRPr="00881218">
        <w:rPr>
          <w:rFonts w:ascii="Arial" w:hAnsi="Arial" w:cs="Arial"/>
          <w:i/>
          <w:sz w:val="22"/>
        </w:rPr>
        <w:t>ny agreement to require fortification should require that it be monitored and formally reviewed to assess the effectiveness of, and continuing the need for, the mandating of fortification</w:t>
      </w:r>
      <w:r w:rsidRPr="00FD51EC">
        <w:rPr>
          <w:rFonts w:ascii="Arial" w:hAnsi="Arial" w:cs="Arial"/>
          <w:sz w:val="22"/>
        </w:rPr>
        <w:t>’</w:t>
      </w:r>
      <w:r w:rsidRPr="00FD51EC">
        <w:rPr>
          <w:rStyle w:val="FootnoteReference"/>
          <w:rFonts w:ascii="Arial" w:hAnsi="Arial" w:cs="Arial"/>
          <w:sz w:val="22"/>
        </w:rPr>
        <w:footnoteReference w:id="1"/>
      </w:r>
      <w:r w:rsidRPr="00FD51EC">
        <w:rPr>
          <w:rFonts w:ascii="Arial" w:hAnsi="Arial" w:cs="Arial"/>
          <w:sz w:val="22"/>
        </w:rPr>
        <w:t xml:space="preserve">. The monitoring framework </w:t>
      </w:r>
      <w:r w:rsidR="00D43F2C">
        <w:rPr>
          <w:rFonts w:ascii="Arial" w:hAnsi="Arial" w:cs="Arial"/>
          <w:sz w:val="22"/>
        </w:rPr>
        <w:t xml:space="preserve">developed for the impact of the mandatory fortification standard </w:t>
      </w:r>
      <w:r w:rsidRPr="00FD51EC">
        <w:rPr>
          <w:rFonts w:ascii="Arial" w:hAnsi="Arial" w:cs="Arial"/>
          <w:sz w:val="22"/>
        </w:rPr>
        <w:t>has several components</w:t>
      </w:r>
      <w:r w:rsidR="009E5B07">
        <w:rPr>
          <w:rFonts w:ascii="Arial" w:hAnsi="Arial" w:cs="Arial"/>
          <w:sz w:val="22"/>
        </w:rPr>
        <w:t xml:space="preserve"> </w:t>
      </w:r>
      <w:r w:rsidR="009E5B07" w:rsidRPr="001A44DC">
        <w:rPr>
          <w:rFonts w:ascii="Arial" w:hAnsi="Arial" w:cs="Arial"/>
          <w:sz w:val="22"/>
        </w:rPr>
        <w:t xml:space="preserve">as </w:t>
      </w:r>
      <w:r w:rsidR="00525B79" w:rsidRPr="001A44DC">
        <w:rPr>
          <w:rFonts w:ascii="Arial" w:hAnsi="Arial" w:cs="Arial"/>
          <w:sz w:val="22"/>
        </w:rPr>
        <w:t xml:space="preserve">presented </w:t>
      </w:r>
      <w:r w:rsidR="002610A1" w:rsidRPr="001A44DC">
        <w:rPr>
          <w:rFonts w:ascii="Arial" w:hAnsi="Arial" w:cs="Arial"/>
          <w:sz w:val="22"/>
        </w:rPr>
        <w:t xml:space="preserve">by the Australian Institute of Health and Welfare </w:t>
      </w:r>
      <w:r w:rsidR="00525B79" w:rsidRPr="001A44DC">
        <w:rPr>
          <w:rFonts w:ascii="Arial" w:hAnsi="Arial" w:cs="Arial"/>
          <w:sz w:val="22"/>
        </w:rPr>
        <w:t xml:space="preserve">in </w:t>
      </w:r>
      <w:r w:rsidR="002610A1" w:rsidRPr="001A44DC">
        <w:rPr>
          <w:rFonts w:ascii="Arial" w:hAnsi="Arial" w:cs="Arial"/>
          <w:sz w:val="22"/>
        </w:rPr>
        <w:t xml:space="preserve">published </w:t>
      </w:r>
      <w:r w:rsidR="00525B79" w:rsidRPr="001A44DC">
        <w:rPr>
          <w:rFonts w:ascii="Arial" w:hAnsi="Arial" w:cs="Arial"/>
          <w:sz w:val="22"/>
        </w:rPr>
        <w:t>report</w:t>
      </w:r>
      <w:r w:rsidR="00786766">
        <w:rPr>
          <w:rFonts w:ascii="Arial" w:hAnsi="Arial" w:cs="Arial"/>
          <w:sz w:val="22"/>
        </w:rPr>
        <w:t>s</w:t>
      </w:r>
      <w:r w:rsidR="00525B79" w:rsidRPr="001A44DC">
        <w:rPr>
          <w:rFonts w:ascii="Arial" w:hAnsi="Arial" w:cs="Arial"/>
          <w:sz w:val="22"/>
        </w:rPr>
        <w:t xml:space="preserve"> </w:t>
      </w:r>
      <w:r w:rsidR="001A44DC" w:rsidRPr="001A44DC">
        <w:rPr>
          <w:rFonts w:ascii="Arial" w:hAnsi="Arial" w:cs="Arial"/>
          <w:sz w:val="22"/>
        </w:rPr>
        <w:t>on</w:t>
      </w:r>
      <w:r w:rsidR="00525B79" w:rsidRPr="001A44DC">
        <w:rPr>
          <w:rFonts w:ascii="Arial" w:hAnsi="Arial" w:cs="Arial"/>
          <w:sz w:val="22"/>
        </w:rPr>
        <w:t xml:space="preserve"> </w:t>
      </w:r>
      <w:r w:rsidR="001A44DC">
        <w:rPr>
          <w:rFonts w:ascii="Arial" w:hAnsi="Arial" w:cs="Arial"/>
          <w:sz w:val="22"/>
        </w:rPr>
        <w:t>programs to monitor</w:t>
      </w:r>
      <w:r w:rsidR="00525B79" w:rsidRPr="001A44DC">
        <w:rPr>
          <w:rFonts w:ascii="Arial" w:hAnsi="Arial" w:cs="Arial"/>
          <w:sz w:val="22"/>
        </w:rPr>
        <w:t xml:space="preserve"> mandatory foli</w:t>
      </w:r>
      <w:r w:rsidR="001A44DC" w:rsidRPr="001A44DC">
        <w:rPr>
          <w:rFonts w:ascii="Arial" w:hAnsi="Arial" w:cs="Arial"/>
          <w:sz w:val="22"/>
        </w:rPr>
        <w:t>c acid and iodine fortification in Australia and New Zealand</w:t>
      </w:r>
      <w:r w:rsidR="00C768D1" w:rsidRPr="001A44DC">
        <w:rPr>
          <w:rFonts w:ascii="Arial" w:hAnsi="Arial" w:cs="Arial"/>
          <w:sz w:val="22"/>
        </w:rPr>
        <w:t>.</w:t>
      </w:r>
      <w:r w:rsidRPr="001A44DC">
        <w:rPr>
          <w:rFonts w:ascii="Arial" w:hAnsi="Arial" w:cs="Arial"/>
          <w:sz w:val="22"/>
        </w:rPr>
        <w:t xml:space="preserve"> </w:t>
      </w:r>
    </w:p>
    <w:p w14:paraId="5D73481B" w14:textId="77777777" w:rsidR="00EC3C7B" w:rsidRDefault="00EC3C7B" w:rsidP="00EC3C7B">
      <w:pPr>
        <w:spacing w:after="0"/>
        <w:rPr>
          <w:rFonts w:ascii="Arial" w:hAnsi="Arial" w:cs="Arial"/>
          <w:sz w:val="22"/>
        </w:rPr>
      </w:pPr>
      <w:r w:rsidRPr="00881218">
        <w:rPr>
          <w:rFonts w:ascii="Arial" w:hAnsi="Arial" w:cs="Arial"/>
          <w:sz w:val="22"/>
        </w:rPr>
        <w:t xml:space="preserve">FSANZ’s </w:t>
      </w:r>
      <w:r>
        <w:rPr>
          <w:rFonts w:ascii="Arial" w:hAnsi="Arial" w:cs="Arial"/>
          <w:sz w:val="22"/>
        </w:rPr>
        <w:t xml:space="preserve">iodine </w:t>
      </w:r>
      <w:r w:rsidRPr="00881218">
        <w:rPr>
          <w:rFonts w:ascii="Arial" w:hAnsi="Arial" w:cs="Arial"/>
          <w:sz w:val="22"/>
        </w:rPr>
        <w:t>fortification monitoring activities under the framew</w:t>
      </w:r>
      <w:r>
        <w:rPr>
          <w:rFonts w:ascii="Arial" w:hAnsi="Arial" w:cs="Arial"/>
          <w:sz w:val="22"/>
        </w:rPr>
        <w:t>ork were not compliance related. T</w:t>
      </w:r>
      <w:r w:rsidRPr="00881218">
        <w:rPr>
          <w:rFonts w:ascii="Arial" w:hAnsi="Arial" w:cs="Arial"/>
          <w:sz w:val="22"/>
        </w:rPr>
        <w:t>hey aim</w:t>
      </w:r>
      <w:r>
        <w:rPr>
          <w:rFonts w:ascii="Arial" w:hAnsi="Arial" w:cs="Arial"/>
          <w:sz w:val="22"/>
        </w:rPr>
        <w:t>ed</w:t>
      </w:r>
      <w:r w:rsidRPr="00881218">
        <w:rPr>
          <w:rFonts w:ascii="Arial" w:hAnsi="Arial" w:cs="Arial"/>
          <w:sz w:val="22"/>
        </w:rPr>
        <w:t xml:space="preserve"> to determine</w:t>
      </w:r>
      <w:r>
        <w:rPr>
          <w:rFonts w:ascii="Arial" w:hAnsi="Arial" w:cs="Arial"/>
          <w:sz w:val="22"/>
        </w:rPr>
        <w:t>:</w:t>
      </w:r>
      <w:r w:rsidRPr="00881218">
        <w:rPr>
          <w:rFonts w:ascii="Arial" w:hAnsi="Arial" w:cs="Arial"/>
          <w:sz w:val="22"/>
        </w:rPr>
        <w:t xml:space="preserve"> </w:t>
      </w:r>
    </w:p>
    <w:p w14:paraId="5D73481C" w14:textId="77777777" w:rsidR="00EC3C7B" w:rsidRDefault="00EC3C7B" w:rsidP="00EC3C7B">
      <w:pPr>
        <w:pStyle w:val="ListParagraph"/>
        <w:numPr>
          <w:ilvl w:val="0"/>
          <w:numId w:val="33"/>
        </w:numPr>
        <w:rPr>
          <w:rFonts w:ascii="Arial" w:hAnsi="Arial" w:cs="Arial"/>
          <w:sz w:val="22"/>
        </w:rPr>
      </w:pPr>
      <w:proofErr w:type="gramStart"/>
      <w:r w:rsidRPr="00721C2C">
        <w:rPr>
          <w:rFonts w:ascii="Arial" w:hAnsi="Arial" w:cs="Arial"/>
          <w:sz w:val="22"/>
        </w:rPr>
        <w:t>the</w:t>
      </w:r>
      <w:proofErr w:type="gramEnd"/>
      <w:r w:rsidRPr="00721C2C">
        <w:rPr>
          <w:rFonts w:ascii="Arial" w:hAnsi="Arial" w:cs="Arial"/>
          <w:sz w:val="22"/>
        </w:rPr>
        <w:t xml:space="preserve"> </w:t>
      </w:r>
      <w:r>
        <w:rPr>
          <w:rFonts w:ascii="Arial" w:hAnsi="Arial" w:cs="Arial"/>
          <w:sz w:val="22"/>
        </w:rPr>
        <w:t>amount</w:t>
      </w:r>
      <w:r w:rsidRPr="00721C2C">
        <w:rPr>
          <w:rFonts w:ascii="Arial" w:hAnsi="Arial" w:cs="Arial"/>
          <w:sz w:val="22"/>
        </w:rPr>
        <w:t xml:space="preserve">s of </w:t>
      </w:r>
      <w:r>
        <w:rPr>
          <w:rFonts w:ascii="Arial" w:hAnsi="Arial" w:cs="Arial"/>
          <w:sz w:val="22"/>
        </w:rPr>
        <w:t>iodine</w:t>
      </w:r>
      <w:r w:rsidRPr="00721C2C">
        <w:rPr>
          <w:rFonts w:ascii="Arial" w:hAnsi="Arial" w:cs="Arial"/>
          <w:sz w:val="22"/>
        </w:rPr>
        <w:t xml:space="preserve"> in bread and related products</w:t>
      </w:r>
      <w:r>
        <w:rPr>
          <w:rFonts w:ascii="Arial" w:hAnsi="Arial" w:cs="Arial"/>
          <w:sz w:val="22"/>
        </w:rPr>
        <w:t xml:space="preserve"> on the Australian market after fortification.</w:t>
      </w:r>
      <w:r w:rsidRPr="00721C2C">
        <w:rPr>
          <w:rFonts w:ascii="Arial" w:hAnsi="Arial" w:cs="Arial"/>
          <w:sz w:val="22"/>
        </w:rPr>
        <w:t xml:space="preserve"> </w:t>
      </w:r>
    </w:p>
    <w:p w14:paraId="5D73481D" w14:textId="77777777" w:rsidR="00EC3C7B" w:rsidRDefault="00EC3C7B" w:rsidP="00EC3C7B">
      <w:pPr>
        <w:pStyle w:val="ListParagraph"/>
        <w:numPr>
          <w:ilvl w:val="0"/>
          <w:numId w:val="33"/>
        </w:numPr>
        <w:rPr>
          <w:rFonts w:ascii="Arial" w:hAnsi="Arial" w:cs="Arial"/>
          <w:sz w:val="22"/>
        </w:rPr>
      </w:pPr>
      <w:proofErr w:type="gramStart"/>
      <w:r w:rsidRPr="00721C2C">
        <w:rPr>
          <w:rFonts w:ascii="Arial" w:hAnsi="Arial" w:cs="Arial"/>
          <w:sz w:val="22"/>
        </w:rPr>
        <w:t>whether</w:t>
      </w:r>
      <w:proofErr w:type="gramEnd"/>
      <w:r w:rsidRPr="00721C2C">
        <w:rPr>
          <w:rFonts w:ascii="Arial" w:hAnsi="Arial" w:cs="Arial"/>
          <w:sz w:val="22"/>
        </w:rPr>
        <w:t xml:space="preserve"> </w:t>
      </w:r>
      <w:r>
        <w:rPr>
          <w:rFonts w:ascii="Arial" w:hAnsi="Arial" w:cs="Arial"/>
          <w:sz w:val="22"/>
        </w:rPr>
        <w:t>estimated</w:t>
      </w:r>
      <w:r w:rsidRPr="00721C2C">
        <w:rPr>
          <w:rFonts w:ascii="Arial" w:hAnsi="Arial" w:cs="Arial"/>
          <w:sz w:val="22"/>
        </w:rPr>
        <w:t xml:space="preserve"> </w:t>
      </w:r>
      <w:r>
        <w:rPr>
          <w:rFonts w:ascii="Arial" w:hAnsi="Arial" w:cs="Arial"/>
          <w:sz w:val="22"/>
        </w:rPr>
        <w:t xml:space="preserve">dietary </w:t>
      </w:r>
      <w:r w:rsidRPr="00721C2C">
        <w:rPr>
          <w:rFonts w:ascii="Arial" w:hAnsi="Arial" w:cs="Arial"/>
          <w:sz w:val="22"/>
        </w:rPr>
        <w:t>intake</w:t>
      </w:r>
      <w:r>
        <w:rPr>
          <w:rFonts w:ascii="Arial" w:hAnsi="Arial" w:cs="Arial"/>
          <w:sz w:val="22"/>
        </w:rPr>
        <w:t xml:space="preserve"> level</w:t>
      </w:r>
      <w:r w:rsidRPr="00721C2C">
        <w:rPr>
          <w:rFonts w:ascii="Arial" w:hAnsi="Arial" w:cs="Arial"/>
          <w:sz w:val="22"/>
        </w:rPr>
        <w:t xml:space="preserve">s within the target group and the other sub-groups of the Australian population increased following </w:t>
      </w:r>
      <w:r>
        <w:rPr>
          <w:rFonts w:ascii="Arial" w:hAnsi="Arial" w:cs="Arial"/>
          <w:sz w:val="22"/>
        </w:rPr>
        <w:t xml:space="preserve">mandatory </w:t>
      </w:r>
      <w:r w:rsidRPr="00721C2C">
        <w:rPr>
          <w:rFonts w:ascii="Arial" w:hAnsi="Arial" w:cs="Arial"/>
          <w:sz w:val="22"/>
        </w:rPr>
        <w:t>fortification when compared to intake levels before fortification</w:t>
      </w:r>
      <w:r>
        <w:rPr>
          <w:rFonts w:ascii="Arial" w:hAnsi="Arial" w:cs="Arial"/>
          <w:sz w:val="22"/>
        </w:rPr>
        <w:t>.</w:t>
      </w:r>
    </w:p>
    <w:p w14:paraId="5D73481E" w14:textId="77777777" w:rsidR="00EC3C7B" w:rsidRDefault="00EC3C7B" w:rsidP="00EC3C7B">
      <w:pPr>
        <w:pStyle w:val="ListParagraph"/>
        <w:numPr>
          <w:ilvl w:val="0"/>
          <w:numId w:val="33"/>
        </w:numPr>
        <w:rPr>
          <w:rFonts w:ascii="Arial" w:hAnsi="Arial" w:cs="Arial"/>
          <w:sz w:val="22"/>
        </w:rPr>
      </w:pPr>
      <w:proofErr w:type="gramStart"/>
      <w:r>
        <w:rPr>
          <w:rFonts w:ascii="Arial" w:hAnsi="Arial" w:cs="Arial"/>
          <w:sz w:val="22"/>
        </w:rPr>
        <w:t>major</w:t>
      </w:r>
      <w:proofErr w:type="gramEnd"/>
      <w:r>
        <w:rPr>
          <w:rFonts w:ascii="Arial" w:hAnsi="Arial" w:cs="Arial"/>
          <w:sz w:val="22"/>
        </w:rPr>
        <w:t xml:space="preserve"> contributors to total iodine intakes before and after fortification.</w:t>
      </w:r>
    </w:p>
    <w:p w14:paraId="5D73481F" w14:textId="77777777" w:rsidR="005423E9" w:rsidRDefault="001B5B20" w:rsidP="001B5B20">
      <w:pPr>
        <w:rPr>
          <w:rFonts w:ascii="Arial" w:hAnsi="Arial" w:cs="Arial"/>
          <w:sz w:val="22"/>
        </w:rPr>
      </w:pPr>
      <w:r w:rsidRPr="00881218">
        <w:rPr>
          <w:rFonts w:ascii="Arial" w:hAnsi="Arial" w:cs="Arial"/>
          <w:sz w:val="22"/>
          <w:lang w:val="en-AU" w:eastAsia="en-AU"/>
        </w:rPr>
        <w:t>To</w:t>
      </w:r>
      <w:r>
        <w:rPr>
          <w:rFonts w:ascii="Arial" w:hAnsi="Arial" w:cs="Arial"/>
          <w:sz w:val="22"/>
          <w:lang w:val="en-AU" w:eastAsia="en-AU"/>
        </w:rPr>
        <w:t xml:space="preserve"> determine the amounts of iodine in the breads commonly consumed by </w:t>
      </w:r>
      <w:r w:rsidRPr="00881218">
        <w:rPr>
          <w:rFonts w:ascii="Arial" w:hAnsi="Arial" w:cs="Arial"/>
          <w:sz w:val="22"/>
          <w:lang w:val="en-AU" w:eastAsia="en-AU"/>
        </w:rPr>
        <w:t>Australian</w:t>
      </w:r>
      <w:r>
        <w:rPr>
          <w:rFonts w:ascii="Arial" w:hAnsi="Arial" w:cs="Arial"/>
          <w:sz w:val="22"/>
          <w:lang w:val="en-AU" w:eastAsia="en-AU"/>
        </w:rPr>
        <w:t>s</w:t>
      </w:r>
      <w:r w:rsidRPr="00881218">
        <w:rPr>
          <w:rFonts w:ascii="Arial" w:hAnsi="Arial" w:cs="Arial"/>
          <w:sz w:val="22"/>
          <w:lang w:val="en-AU" w:eastAsia="en-AU"/>
        </w:rPr>
        <w:t xml:space="preserve"> following mandatory fortification of bread, FSANZ </w:t>
      </w:r>
      <w:r w:rsidRPr="00881218">
        <w:rPr>
          <w:rFonts w:ascii="Arial" w:hAnsi="Arial" w:cs="Arial"/>
          <w:sz w:val="22"/>
        </w:rPr>
        <w:t>undertook t</w:t>
      </w:r>
      <w:r>
        <w:rPr>
          <w:rFonts w:ascii="Arial" w:hAnsi="Arial" w:cs="Arial"/>
          <w:sz w:val="22"/>
        </w:rPr>
        <w:t>hree</w:t>
      </w:r>
      <w:r w:rsidRPr="00881218">
        <w:rPr>
          <w:rFonts w:ascii="Arial" w:hAnsi="Arial" w:cs="Arial"/>
          <w:sz w:val="22"/>
        </w:rPr>
        <w:t xml:space="preserve"> phases of bread</w:t>
      </w:r>
      <w:r>
        <w:rPr>
          <w:rFonts w:ascii="Arial" w:hAnsi="Arial" w:cs="Arial"/>
          <w:sz w:val="22"/>
        </w:rPr>
        <w:t xml:space="preserve"> </w:t>
      </w:r>
      <w:r w:rsidRPr="00881218">
        <w:rPr>
          <w:rFonts w:ascii="Arial" w:hAnsi="Arial" w:cs="Arial"/>
          <w:sz w:val="22"/>
        </w:rPr>
        <w:t>analytical survey</w:t>
      </w:r>
      <w:r>
        <w:rPr>
          <w:rFonts w:ascii="Arial" w:hAnsi="Arial" w:cs="Arial"/>
          <w:sz w:val="22"/>
        </w:rPr>
        <w:t>s</w:t>
      </w:r>
      <w:r w:rsidRPr="00881218">
        <w:rPr>
          <w:rFonts w:ascii="Arial" w:hAnsi="Arial" w:cs="Arial"/>
          <w:sz w:val="22"/>
        </w:rPr>
        <w:t xml:space="preserve"> in 2010, </w:t>
      </w:r>
      <w:r w:rsidRPr="008E2CFA">
        <w:rPr>
          <w:rFonts w:ascii="Arial" w:hAnsi="Arial" w:cs="Arial"/>
          <w:sz w:val="22"/>
        </w:rPr>
        <w:t>2012</w:t>
      </w:r>
      <w:r>
        <w:rPr>
          <w:rFonts w:ascii="Arial" w:hAnsi="Arial" w:cs="Arial"/>
          <w:sz w:val="22"/>
        </w:rPr>
        <w:t xml:space="preserve"> and 2013</w:t>
      </w:r>
      <w:r w:rsidR="00DA5E24">
        <w:rPr>
          <w:rFonts w:ascii="Arial" w:hAnsi="Arial" w:cs="Arial"/>
          <w:sz w:val="22"/>
        </w:rPr>
        <w:t xml:space="preserve">, as part of the ISFR </w:t>
      </w:r>
      <w:r w:rsidR="00DA5E24" w:rsidRPr="001D23C6">
        <w:rPr>
          <w:rFonts w:ascii="Arial" w:hAnsi="Arial" w:cs="Arial"/>
          <w:sz w:val="22"/>
        </w:rPr>
        <w:t xml:space="preserve">National </w:t>
      </w:r>
      <w:r w:rsidR="00DA5E24" w:rsidRPr="00945F4A">
        <w:rPr>
          <w:rFonts w:ascii="Arial" w:hAnsi="Arial" w:cs="Arial"/>
          <w:sz w:val="22"/>
        </w:rPr>
        <w:t>Coordinated Survey Plan</w:t>
      </w:r>
      <w:r>
        <w:rPr>
          <w:rFonts w:ascii="Arial" w:hAnsi="Arial" w:cs="Arial"/>
          <w:sz w:val="22"/>
        </w:rPr>
        <w:t>.</w:t>
      </w:r>
      <w:r w:rsidR="002610A1" w:rsidRPr="00FD51EC">
        <w:rPr>
          <w:rFonts w:ascii="Arial" w:hAnsi="Arial" w:cs="Arial"/>
          <w:sz w:val="22"/>
          <w:lang w:val="en-AU" w:eastAsia="en-AU"/>
        </w:rPr>
        <w:t xml:space="preserve"> </w:t>
      </w:r>
      <w:r w:rsidRPr="00881218">
        <w:rPr>
          <w:rFonts w:ascii="Arial" w:hAnsi="Arial" w:cs="Arial"/>
          <w:sz w:val="22"/>
        </w:rPr>
        <w:t>The bread samples were purchased from representative food retail outlets in the capital cities of all Australian States and Territories.</w:t>
      </w:r>
      <w:r>
        <w:rPr>
          <w:rFonts w:ascii="Arial" w:hAnsi="Arial" w:cs="Arial"/>
          <w:sz w:val="22"/>
        </w:rPr>
        <w:t xml:space="preserve"> </w:t>
      </w:r>
      <w:r w:rsidRPr="008E2CFA">
        <w:rPr>
          <w:rFonts w:ascii="Arial" w:hAnsi="Arial" w:cs="Arial"/>
          <w:sz w:val="22"/>
        </w:rPr>
        <w:t xml:space="preserve">The phasing of the surveys enabled assessment of the consistency of </w:t>
      </w:r>
      <w:r>
        <w:rPr>
          <w:rFonts w:ascii="Arial" w:hAnsi="Arial" w:cs="Arial"/>
          <w:sz w:val="22"/>
        </w:rPr>
        <w:t>iodine</w:t>
      </w:r>
      <w:r w:rsidRPr="008E2CFA">
        <w:rPr>
          <w:rFonts w:ascii="Arial" w:hAnsi="Arial" w:cs="Arial"/>
          <w:sz w:val="22"/>
        </w:rPr>
        <w:t xml:space="preserve"> amounts present at different time periods. Although there were variations in the </w:t>
      </w:r>
      <w:r>
        <w:rPr>
          <w:rFonts w:ascii="Arial" w:hAnsi="Arial" w:cs="Arial"/>
          <w:sz w:val="22"/>
        </w:rPr>
        <w:t>iodine</w:t>
      </w:r>
      <w:r w:rsidRPr="008E2CFA">
        <w:rPr>
          <w:rFonts w:ascii="Arial" w:hAnsi="Arial" w:cs="Arial"/>
          <w:sz w:val="22"/>
        </w:rPr>
        <w:t xml:space="preserve"> amounts in the breads sampled during the two surveys, they resulted in only minor differences</w:t>
      </w:r>
      <w:r>
        <w:rPr>
          <w:rFonts w:ascii="Arial" w:hAnsi="Arial" w:cs="Arial"/>
          <w:sz w:val="22"/>
        </w:rPr>
        <w:t xml:space="preserve"> in the mean iodine levels for the bread types.</w:t>
      </w:r>
      <w:r w:rsidR="00030D84">
        <w:rPr>
          <w:rFonts w:ascii="Arial" w:hAnsi="Arial" w:cs="Arial"/>
          <w:sz w:val="22"/>
          <w:lang w:val="en-AU" w:eastAsia="en-AU"/>
        </w:rPr>
        <w:t xml:space="preserve"> </w:t>
      </w:r>
      <w:r>
        <w:rPr>
          <w:rFonts w:ascii="Arial" w:hAnsi="Arial" w:cs="Arial"/>
          <w:sz w:val="22"/>
        </w:rPr>
        <w:t>T</w:t>
      </w:r>
      <w:r w:rsidR="00E1082F" w:rsidRPr="00FD51EC">
        <w:rPr>
          <w:rFonts w:ascii="Arial" w:hAnsi="Arial" w:cs="Arial"/>
          <w:sz w:val="22"/>
        </w:rPr>
        <w:t xml:space="preserve">he analytical results </w:t>
      </w:r>
      <w:r w:rsidR="00E1082F">
        <w:rPr>
          <w:rFonts w:ascii="Arial" w:hAnsi="Arial" w:cs="Arial"/>
          <w:sz w:val="22"/>
        </w:rPr>
        <w:t xml:space="preserve">of the amount of iodine in the post-fortification bread samples </w:t>
      </w:r>
      <w:r w:rsidR="00E1082F" w:rsidRPr="00FD51EC">
        <w:rPr>
          <w:rFonts w:ascii="Arial" w:hAnsi="Arial" w:cs="Arial"/>
          <w:sz w:val="22"/>
        </w:rPr>
        <w:t>demonstrate</w:t>
      </w:r>
      <w:r w:rsidR="00DB5CA5">
        <w:rPr>
          <w:rFonts w:ascii="Arial" w:hAnsi="Arial" w:cs="Arial"/>
          <w:sz w:val="22"/>
        </w:rPr>
        <w:t>d</w:t>
      </w:r>
      <w:r w:rsidR="00E1082F" w:rsidRPr="00FD51EC">
        <w:rPr>
          <w:rFonts w:ascii="Arial" w:hAnsi="Arial" w:cs="Arial"/>
          <w:sz w:val="22"/>
        </w:rPr>
        <w:t xml:space="preserve"> that bakeries </w:t>
      </w:r>
      <w:r w:rsidR="00DB5CA5">
        <w:rPr>
          <w:rFonts w:ascii="Arial" w:hAnsi="Arial" w:cs="Arial"/>
          <w:sz w:val="22"/>
        </w:rPr>
        <w:t>we</w:t>
      </w:r>
      <w:r w:rsidR="00E1082F" w:rsidRPr="00FD51EC">
        <w:rPr>
          <w:rFonts w:ascii="Arial" w:hAnsi="Arial" w:cs="Arial"/>
          <w:sz w:val="22"/>
        </w:rPr>
        <w:t xml:space="preserve">re using iodised salt in the </w:t>
      </w:r>
      <w:r w:rsidR="004964DF">
        <w:rPr>
          <w:rFonts w:ascii="Arial" w:hAnsi="Arial" w:cs="Arial"/>
          <w:sz w:val="22"/>
        </w:rPr>
        <w:t>making</w:t>
      </w:r>
      <w:r w:rsidR="00E1082F" w:rsidRPr="00FD51EC">
        <w:rPr>
          <w:rFonts w:ascii="Arial" w:hAnsi="Arial" w:cs="Arial"/>
          <w:sz w:val="22"/>
        </w:rPr>
        <w:t xml:space="preserve"> of breads</w:t>
      </w:r>
      <w:r w:rsidR="00E1082F">
        <w:rPr>
          <w:rFonts w:ascii="Arial" w:hAnsi="Arial" w:cs="Arial"/>
          <w:sz w:val="22"/>
        </w:rPr>
        <w:t>.</w:t>
      </w:r>
      <w:r w:rsidR="00E1082F" w:rsidRPr="00FD51EC">
        <w:rPr>
          <w:rFonts w:ascii="Arial" w:hAnsi="Arial" w:cs="Arial"/>
          <w:sz w:val="22"/>
        </w:rPr>
        <w:t xml:space="preserve"> </w:t>
      </w:r>
    </w:p>
    <w:p w14:paraId="5D734820" w14:textId="77777777" w:rsidR="00127265" w:rsidRPr="005423E9" w:rsidRDefault="00B44695" w:rsidP="00CC5193">
      <w:pPr>
        <w:rPr>
          <w:rFonts w:ascii="Arial" w:hAnsi="Arial" w:cs="Arial"/>
          <w:sz w:val="22"/>
          <w:lang w:val="en-AU" w:eastAsia="en-AU"/>
        </w:rPr>
      </w:pPr>
      <w:r w:rsidRPr="00FD51EC">
        <w:rPr>
          <w:rFonts w:ascii="Arial" w:hAnsi="Arial" w:cs="Arial"/>
          <w:sz w:val="22"/>
        </w:rPr>
        <w:lastRenderedPageBreak/>
        <w:t xml:space="preserve">The </w:t>
      </w:r>
      <w:r w:rsidR="00794D12">
        <w:rPr>
          <w:rFonts w:ascii="Arial" w:hAnsi="Arial" w:cs="Arial"/>
          <w:sz w:val="22"/>
        </w:rPr>
        <w:t xml:space="preserve">iodine </w:t>
      </w:r>
      <w:r w:rsidRPr="00FD51EC">
        <w:rPr>
          <w:rFonts w:ascii="Arial" w:hAnsi="Arial" w:cs="Arial"/>
          <w:sz w:val="22"/>
        </w:rPr>
        <w:t xml:space="preserve">values together with food consumption data from the two available national nutrition surveys were used to estimate the Australian population’s </w:t>
      </w:r>
      <w:r w:rsidR="00DA5E24">
        <w:rPr>
          <w:rFonts w:ascii="Arial" w:hAnsi="Arial" w:cs="Arial"/>
          <w:sz w:val="22"/>
        </w:rPr>
        <w:t xml:space="preserve">usual </w:t>
      </w:r>
      <w:r w:rsidRPr="00FD51EC">
        <w:rPr>
          <w:rFonts w:ascii="Arial" w:hAnsi="Arial" w:cs="Arial"/>
          <w:sz w:val="22"/>
        </w:rPr>
        <w:t xml:space="preserve">intake of </w:t>
      </w:r>
      <w:r w:rsidR="00794D12">
        <w:rPr>
          <w:rFonts w:ascii="Arial" w:hAnsi="Arial" w:cs="Arial"/>
          <w:sz w:val="22"/>
        </w:rPr>
        <w:t xml:space="preserve">dietary </w:t>
      </w:r>
      <w:r w:rsidRPr="00FD51EC">
        <w:rPr>
          <w:rFonts w:ascii="Arial" w:hAnsi="Arial" w:cs="Arial"/>
          <w:sz w:val="22"/>
        </w:rPr>
        <w:t>iodine</w:t>
      </w:r>
      <w:r w:rsidR="008D701D" w:rsidRPr="00FD51EC">
        <w:rPr>
          <w:rFonts w:ascii="Arial" w:hAnsi="Arial" w:cs="Arial"/>
          <w:sz w:val="22"/>
        </w:rPr>
        <w:t xml:space="preserve"> </w:t>
      </w:r>
      <w:r w:rsidR="00C5155F">
        <w:rPr>
          <w:rFonts w:ascii="Arial" w:hAnsi="Arial" w:cs="Arial"/>
          <w:sz w:val="22"/>
        </w:rPr>
        <w:t>before and after</w:t>
      </w:r>
      <w:r w:rsidR="00794D12" w:rsidRPr="00FD51EC">
        <w:rPr>
          <w:rFonts w:ascii="Arial" w:hAnsi="Arial" w:cs="Arial"/>
          <w:sz w:val="22"/>
          <w:lang w:val="en-AU" w:eastAsia="en-AU"/>
        </w:rPr>
        <w:t xml:space="preserve"> mandatory </w:t>
      </w:r>
      <w:r w:rsidR="00794D12">
        <w:rPr>
          <w:rFonts w:ascii="Arial" w:hAnsi="Arial" w:cs="Arial"/>
          <w:sz w:val="22"/>
          <w:lang w:val="en-AU" w:eastAsia="en-AU"/>
        </w:rPr>
        <w:t xml:space="preserve">iodine </w:t>
      </w:r>
      <w:r w:rsidR="00794D12" w:rsidRPr="00FD51EC">
        <w:rPr>
          <w:rFonts w:ascii="Arial" w:hAnsi="Arial" w:cs="Arial"/>
          <w:sz w:val="22"/>
          <w:lang w:val="en-AU" w:eastAsia="en-AU"/>
        </w:rPr>
        <w:t>fortification of bread.</w:t>
      </w:r>
      <w:r w:rsidR="005423E9">
        <w:rPr>
          <w:rFonts w:ascii="Arial" w:hAnsi="Arial" w:cs="Arial"/>
          <w:sz w:val="22"/>
          <w:lang w:val="en-AU" w:eastAsia="en-AU"/>
        </w:rPr>
        <w:t xml:space="preserve"> </w:t>
      </w:r>
      <w:r w:rsidR="00E1082F">
        <w:rPr>
          <w:rFonts w:ascii="Arial" w:hAnsi="Arial" w:cs="Arial"/>
          <w:sz w:val="22"/>
        </w:rPr>
        <w:t>Comparison of the</w:t>
      </w:r>
      <w:r w:rsidR="00794D12">
        <w:rPr>
          <w:rFonts w:ascii="Arial" w:hAnsi="Arial" w:cs="Arial"/>
          <w:sz w:val="22"/>
        </w:rPr>
        <w:t xml:space="preserve"> </w:t>
      </w:r>
      <w:r w:rsidR="005423E9">
        <w:rPr>
          <w:rFonts w:ascii="Arial" w:hAnsi="Arial" w:cs="Arial"/>
          <w:sz w:val="22"/>
        </w:rPr>
        <w:t xml:space="preserve">post-fortification dietary iodine </w:t>
      </w:r>
      <w:r w:rsidR="00DA5E24">
        <w:rPr>
          <w:rFonts w:ascii="Arial" w:hAnsi="Arial" w:cs="Arial"/>
          <w:sz w:val="22"/>
        </w:rPr>
        <w:t xml:space="preserve">usual </w:t>
      </w:r>
      <w:r w:rsidR="005423E9">
        <w:rPr>
          <w:rFonts w:ascii="Arial" w:hAnsi="Arial" w:cs="Arial"/>
          <w:sz w:val="22"/>
        </w:rPr>
        <w:t xml:space="preserve">intake </w:t>
      </w:r>
      <w:r w:rsidR="00794D12">
        <w:rPr>
          <w:rFonts w:ascii="Arial" w:hAnsi="Arial" w:cs="Arial"/>
          <w:sz w:val="22"/>
        </w:rPr>
        <w:t>estimate</w:t>
      </w:r>
      <w:r w:rsidR="005423E9">
        <w:rPr>
          <w:rFonts w:ascii="Arial" w:hAnsi="Arial" w:cs="Arial"/>
          <w:sz w:val="22"/>
        </w:rPr>
        <w:t>s</w:t>
      </w:r>
      <w:r w:rsidR="00E1082F">
        <w:rPr>
          <w:rFonts w:ascii="Arial" w:hAnsi="Arial" w:cs="Arial"/>
          <w:sz w:val="22"/>
        </w:rPr>
        <w:t xml:space="preserve"> with the population’s pre-fortification iodine intake levels </w:t>
      </w:r>
      <w:r w:rsidR="00E63186">
        <w:rPr>
          <w:rFonts w:ascii="Arial" w:hAnsi="Arial" w:cs="Arial"/>
          <w:sz w:val="22"/>
        </w:rPr>
        <w:t xml:space="preserve">indicated </w:t>
      </w:r>
      <w:r w:rsidR="00794D12">
        <w:rPr>
          <w:rFonts w:ascii="Arial" w:hAnsi="Arial" w:cs="Arial"/>
          <w:sz w:val="22"/>
        </w:rPr>
        <w:t xml:space="preserve">an increase in the mean amount of dietary iodine consumed </w:t>
      </w:r>
      <w:r w:rsidR="00C73724">
        <w:rPr>
          <w:rFonts w:ascii="Arial" w:hAnsi="Arial" w:cs="Arial"/>
          <w:sz w:val="22"/>
        </w:rPr>
        <w:t xml:space="preserve">daily </w:t>
      </w:r>
      <w:r w:rsidR="00794D12">
        <w:rPr>
          <w:rFonts w:ascii="Arial" w:hAnsi="Arial" w:cs="Arial"/>
          <w:sz w:val="22"/>
        </w:rPr>
        <w:t xml:space="preserve">by </w:t>
      </w:r>
      <w:r w:rsidR="00E1082F">
        <w:rPr>
          <w:rFonts w:ascii="Arial" w:hAnsi="Arial" w:cs="Arial"/>
          <w:sz w:val="22"/>
        </w:rPr>
        <w:t xml:space="preserve">all </w:t>
      </w:r>
      <w:r w:rsidR="00794D12">
        <w:rPr>
          <w:rFonts w:ascii="Arial" w:hAnsi="Arial" w:cs="Arial"/>
          <w:sz w:val="22"/>
        </w:rPr>
        <w:t>Australians</w:t>
      </w:r>
      <w:r w:rsidR="00E1082F">
        <w:rPr>
          <w:rFonts w:ascii="Arial" w:hAnsi="Arial" w:cs="Arial"/>
          <w:sz w:val="22"/>
        </w:rPr>
        <w:t>,</w:t>
      </w:r>
      <w:r w:rsidR="00794D12">
        <w:rPr>
          <w:rFonts w:ascii="Arial" w:hAnsi="Arial" w:cs="Arial"/>
          <w:sz w:val="22"/>
        </w:rPr>
        <w:t xml:space="preserve"> </w:t>
      </w:r>
      <w:r w:rsidR="00E1082F">
        <w:rPr>
          <w:rFonts w:ascii="Arial" w:hAnsi="Arial" w:cs="Arial"/>
          <w:sz w:val="22"/>
        </w:rPr>
        <w:t>particularly the target population</w:t>
      </w:r>
      <w:r w:rsidR="005423E9">
        <w:rPr>
          <w:rFonts w:ascii="Arial" w:hAnsi="Arial" w:cs="Arial"/>
          <w:sz w:val="22"/>
        </w:rPr>
        <w:t>s.</w:t>
      </w:r>
      <w:r w:rsidR="00E1082F">
        <w:rPr>
          <w:rFonts w:ascii="Arial" w:hAnsi="Arial" w:cs="Arial"/>
          <w:sz w:val="22"/>
        </w:rPr>
        <w:t xml:space="preserve"> </w:t>
      </w:r>
    </w:p>
    <w:p w14:paraId="5D734821" w14:textId="77777777" w:rsidR="00D54E93" w:rsidRDefault="00D54E93" w:rsidP="00C114E5"/>
    <w:p w14:paraId="5D734822" w14:textId="77777777" w:rsidR="008A570B" w:rsidRPr="00EF198C" w:rsidRDefault="00F45182" w:rsidP="00CC5193">
      <w:pPr>
        <w:pStyle w:val="Heading1"/>
        <w:spacing w:after="200"/>
        <w:ind w:left="0" w:firstLine="0"/>
        <w:rPr>
          <w:rFonts w:ascii="Arial" w:hAnsi="Arial" w:cs="Arial"/>
          <w:sz w:val="24"/>
          <w:szCs w:val="24"/>
        </w:rPr>
      </w:pPr>
      <w:bookmarkStart w:id="1" w:name="_Toc430854492"/>
      <w:r w:rsidRPr="00EF198C">
        <w:rPr>
          <w:rFonts w:ascii="Arial" w:hAnsi="Arial" w:cs="Arial"/>
          <w:sz w:val="24"/>
          <w:szCs w:val="24"/>
        </w:rPr>
        <w:t>1.0</w:t>
      </w:r>
      <w:r w:rsidRPr="00EF198C">
        <w:rPr>
          <w:rFonts w:ascii="Arial" w:hAnsi="Arial" w:cs="Arial"/>
          <w:sz w:val="24"/>
          <w:szCs w:val="24"/>
        </w:rPr>
        <w:tab/>
      </w:r>
      <w:r w:rsidR="0030376D" w:rsidRPr="00EF198C">
        <w:rPr>
          <w:rFonts w:ascii="Arial" w:hAnsi="Arial" w:cs="Arial"/>
          <w:sz w:val="24"/>
          <w:szCs w:val="24"/>
        </w:rPr>
        <w:tab/>
      </w:r>
      <w:r w:rsidR="008A570B" w:rsidRPr="00EF198C">
        <w:rPr>
          <w:rFonts w:ascii="Arial" w:hAnsi="Arial" w:cs="Arial"/>
          <w:sz w:val="24"/>
          <w:szCs w:val="24"/>
        </w:rPr>
        <w:t>Introduction</w:t>
      </w:r>
      <w:bookmarkEnd w:id="1"/>
    </w:p>
    <w:p w14:paraId="5D734823" w14:textId="18101F06" w:rsidR="006411D5" w:rsidRDefault="00C5155F" w:rsidP="00CC5193">
      <w:pPr>
        <w:rPr>
          <w:rFonts w:ascii="Arial" w:hAnsi="Arial" w:cs="Arial"/>
          <w:sz w:val="22"/>
        </w:rPr>
      </w:pPr>
      <w:r>
        <w:rPr>
          <w:rFonts w:ascii="Arial" w:hAnsi="Arial" w:cs="Arial"/>
          <w:sz w:val="22"/>
        </w:rPr>
        <w:t>This</w:t>
      </w:r>
      <w:r w:rsidR="000F705A" w:rsidRPr="00FD51EC">
        <w:rPr>
          <w:rFonts w:ascii="Arial" w:hAnsi="Arial" w:cs="Arial"/>
          <w:sz w:val="22"/>
        </w:rPr>
        <w:t xml:space="preserve"> report </w:t>
      </w:r>
      <w:r w:rsidR="00B204BD">
        <w:rPr>
          <w:rFonts w:ascii="Arial" w:hAnsi="Arial" w:cs="Arial"/>
          <w:sz w:val="22"/>
        </w:rPr>
        <w:t xml:space="preserve">summarises </w:t>
      </w:r>
      <w:r w:rsidR="000F705A" w:rsidRPr="00FD51EC">
        <w:rPr>
          <w:rFonts w:ascii="Arial" w:hAnsi="Arial" w:cs="Arial"/>
          <w:sz w:val="22"/>
        </w:rPr>
        <w:t xml:space="preserve">the activities undertaken by FSANZ </w:t>
      </w:r>
      <w:r w:rsidR="004E0BA5" w:rsidRPr="00FD51EC">
        <w:rPr>
          <w:rFonts w:ascii="Arial" w:hAnsi="Arial" w:cs="Arial"/>
          <w:sz w:val="22"/>
        </w:rPr>
        <w:t>in</w:t>
      </w:r>
      <w:r w:rsidR="000F705A" w:rsidRPr="00FD51EC">
        <w:rPr>
          <w:rFonts w:ascii="Arial" w:hAnsi="Arial" w:cs="Arial"/>
          <w:sz w:val="22"/>
        </w:rPr>
        <w:t xml:space="preserve"> monitoring </w:t>
      </w:r>
      <w:r w:rsidR="00D43F2C">
        <w:rPr>
          <w:rFonts w:ascii="Arial" w:hAnsi="Arial" w:cs="Arial"/>
          <w:sz w:val="22"/>
        </w:rPr>
        <w:t xml:space="preserve">the impact of </w:t>
      </w:r>
      <w:r w:rsidR="000F705A" w:rsidRPr="00FD51EC">
        <w:rPr>
          <w:rFonts w:ascii="Arial" w:hAnsi="Arial" w:cs="Arial"/>
          <w:sz w:val="22"/>
        </w:rPr>
        <w:t>the mandatory fortification of bread with iodine</w:t>
      </w:r>
      <w:r w:rsidR="000530D0">
        <w:rPr>
          <w:rFonts w:ascii="Arial" w:hAnsi="Arial" w:cs="Arial"/>
          <w:sz w:val="22"/>
        </w:rPr>
        <w:t xml:space="preserve"> through the use of iodised salt</w:t>
      </w:r>
      <w:r w:rsidR="004E0BA5" w:rsidRPr="00FD51EC">
        <w:rPr>
          <w:rFonts w:ascii="Arial" w:hAnsi="Arial" w:cs="Arial"/>
          <w:sz w:val="22"/>
        </w:rPr>
        <w:t>.</w:t>
      </w:r>
      <w:r w:rsidR="000F705A" w:rsidRPr="00FD51EC">
        <w:rPr>
          <w:rFonts w:ascii="Arial" w:hAnsi="Arial" w:cs="Arial"/>
          <w:sz w:val="22"/>
        </w:rPr>
        <w:t xml:space="preserve"> </w:t>
      </w:r>
      <w:r w:rsidR="00932E38">
        <w:rPr>
          <w:rFonts w:ascii="Arial" w:hAnsi="Arial" w:cs="Arial"/>
          <w:sz w:val="22"/>
        </w:rPr>
        <w:t xml:space="preserve">Standard 2.1.1 </w:t>
      </w:r>
      <w:r w:rsidR="00932E38" w:rsidRPr="00B1616B">
        <w:rPr>
          <w:rFonts w:ascii="Arial" w:hAnsi="Arial" w:cs="Arial"/>
          <w:i/>
          <w:sz w:val="22"/>
        </w:rPr>
        <w:t>Cereals and cereal products</w:t>
      </w:r>
      <w:r w:rsidR="00932E38">
        <w:rPr>
          <w:rFonts w:ascii="Arial" w:hAnsi="Arial" w:cs="Arial"/>
          <w:sz w:val="22"/>
        </w:rPr>
        <w:t xml:space="preserve"> of the Australian New Zealand Food Standards Code (the Code) requires </w:t>
      </w:r>
      <w:r w:rsidR="00932E38" w:rsidRPr="00881218">
        <w:rPr>
          <w:rFonts w:ascii="Arial" w:hAnsi="Arial" w:cs="Arial"/>
          <w:sz w:val="22"/>
        </w:rPr>
        <w:t xml:space="preserve">the use of </w:t>
      </w:r>
      <w:r w:rsidR="00932E38">
        <w:rPr>
          <w:rFonts w:ascii="Arial" w:hAnsi="Arial" w:cs="Arial"/>
          <w:sz w:val="22"/>
        </w:rPr>
        <w:t>iodised salt</w:t>
      </w:r>
      <w:r w:rsidR="00932E38" w:rsidRPr="00881218">
        <w:rPr>
          <w:rFonts w:ascii="Arial" w:hAnsi="Arial" w:cs="Arial"/>
          <w:sz w:val="22"/>
        </w:rPr>
        <w:t xml:space="preserve"> for making bread</w:t>
      </w:r>
      <w:r w:rsidR="00932E38">
        <w:rPr>
          <w:rFonts w:ascii="Arial" w:hAnsi="Arial" w:cs="Arial"/>
          <w:sz w:val="22"/>
        </w:rPr>
        <w:t xml:space="preserve"> except where the</w:t>
      </w:r>
      <w:r w:rsidR="00932E38" w:rsidRPr="00F27112">
        <w:rPr>
          <w:rFonts w:ascii="Arial" w:hAnsi="Arial" w:cs="Arial"/>
          <w:sz w:val="22"/>
        </w:rPr>
        <w:t xml:space="preserve"> bread </w:t>
      </w:r>
      <w:r w:rsidR="00932E38">
        <w:rPr>
          <w:rFonts w:ascii="Arial" w:hAnsi="Arial" w:cs="Arial"/>
          <w:sz w:val="22"/>
        </w:rPr>
        <w:t xml:space="preserve">is </w:t>
      </w:r>
      <w:r w:rsidR="00932E38" w:rsidRPr="00F27112">
        <w:rPr>
          <w:rFonts w:ascii="Arial" w:hAnsi="Arial" w:cs="Arial"/>
          <w:sz w:val="22"/>
        </w:rPr>
        <w:t>presented as organic</w:t>
      </w:r>
      <w:r w:rsidR="0088655F">
        <w:rPr>
          <w:rFonts w:ascii="Arial" w:hAnsi="Arial" w:cs="Arial"/>
          <w:sz w:val="22"/>
        </w:rPr>
        <w:t xml:space="preserve"> or salt is added to the external surface of the bread</w:t>
      </w:r>
      <w:r w:rsidR="00932E38" w:rsidRPr="00881218">
        <w:rPr>
          <w:rFonts w:ascii="Arial" w:hAnsi="Arial" w:cs="Arial"/>
          <w:sz w:val="22"/>
        </w:rPr>
        <w:t xml:space="preserve">. </w:t>
      </w:r>
      <w:r w:rsidR="00932E38" w:rsidRPr="00FD51EC">
        <w:rPr>
          <w:rFonts w:ascii="Arial" w:hAnsi="Arial" w:cs="Arial"/>
          <w:sz w:val="22"/>
        </w:rPr>
        <w:t xml:space="preserve">The standard aimed to improve the iodine status of </w:t>
      </w:r>
      <w:r w:rsidR="00932E38">
        <w:rPr>
          <w:rFonts w:ascii="Arial" w:hAnsi="Arial" w:cs="Arial"/>
          <w:sz w:val="22"/>
        </w:rPr>
        <w:t xml:space="preserve">the population, particularly in </w:t>
      </w:r>
      <w:r w:rsidR="00932E38" w:rsidRPr="00FD51EC">
        <w:rPr>
          <w:rFonts w:ascii="Arial" w:hAnsi="Arial" w:cs="Arial"/>
          <w:sz w:val="22"/>
        </w:rPr>
        <w:t xml:space="preserve">young children, </w:t>
      </w:r>
      <w:r w:rsidR="00F343F7">
        <w:rPr>
          <w:rFonts w:ascii="Arial" w:hAnsi="Arial" w:cs="Arial"/>
          <w:sz w:val="22"/>
        </w:rPr>
        <w:t>females</w:t>
      </w:r>
      <w:r w:rsidR="00932E38" w:rsidRPr="00FD51EC">
        <w:rPr>
          <w:rFonts w:ascii="Arial" w:hAnsi="Arial" w:cs="Arial"/>
          <w:sz w:val="22"/>
        </w:rPr>
        <w:t xml:space="preserve"> of child-bearing a</w:t>
      </w:r>
      <w:r w:rsidR="00932E38">
        <w:rPr>
          <w:rFonts w:ascii="Arial" w:hAnsi="Arial" w:cs="Arial"/>
          <w:sz w:val="22"/>
        </w:rPr>
        <w:t xml:space="preserve">ge and breast-feeding </w:t>
      </w:r>
      <w:r w:rsidR="00F343F7">
        <w:rPr>
          <w:rFonts w:ascii="Arial" w:hAnsi="Arial" w:cs="Arial"/>
          <w:sz w:val="22"/>
        </w:rPr>
        <w:t>females</w:t>
      </w:r>
      <w:r w:rsidR="00932E38">
        <w:rPr>
          <w:rFonts w:ascii="Arial" w:hAnsi="Arial" w:cs="Arial"/>
          <w:sz w:val="22"/>
        </w:rPr>
        <w:t>, to reduce</w:t>
      </w:r>
      <w:r w:rsidR="00932E38" w:rsidRPr="00FD51EC">
        <w:rPr>
          <w:rFonts w:ascii="Arial" w:hAnsi="Arial" w:cs="Arial"/>
          <w:sz w:val="22"/>
        </w:rPr>
        <w:t xml:space="preserve"> the incidence of iodine-deficiency health problems</w:t>
      </w:r>
      <w:r w:rsidR="00932E38">
        <w:rPr>
          <w:rFonts w:ascii="Arial" w:hAnsi="Arial" w:cs="Arial"/>
          <w:sz w:val="22"/>
        </w:rPr>
        <w:t>,</w:t>
      </w:r>
      <w:r w:rsidR="00932E38" w:rsidRPr="00FD51EC">
        <w:rPr>
          <w:rFonts w:ascii="Arial" w:hAnsi="Arial" w:cs="Arial"/>
          <w:sz w:val="22"/>
        </w:rPr>
        <w:t xml:space="preserve"> </w:t>
      </w:r>
      <w:r w:rsidR="00932E38">
        <w:rPr>
          <w:rFonts w:ascii="Arial" w:hAnsi="Arial" w:cs="Arial"/>
          <w:sz w:val="22"/>
        </w:rPr>
        <w:t>including</w:t>
      </w:r>
      <w:r w:rsidR="00932E38" w:rsidRPr="00FD51EC">
        <w:rPr>
          <w:rFonts w:ascii="Arial" w:hAnsi="Arial" w:cs="Arial"/>
          <w:sz w:val="22"/>
        </w:rPr>
        <w:t xml:space="preserve"> impaired neurological conditions in children.</w:t>
      </w:r>
    </w:p>
    <w:p w14:paraId="5D734824" w14:textId="36FFB9BC" w:rsidR="003F614F" w:rsidRPr="00881218" w:rsidRDefault="003F614F" w:rsidP="003F614F">
      <w:pPr>
        <w:rPr>
          <w:rFonts w:ascii="Arial" w:hAnsi="Arial" w:cs="Arial"/>
          <w:sz w:val="22"/>
        </w:rPr>
      </w:pPr>
      <w:r w:rsidRPr="00881218">
        <w:rPr>
          <w:rFonts w:ascii="Arial" w:hAnsi="Arial" w:cs="Arial"/>
          <w:sz w:val="22"/>
        </w:rPr>
        <w:t xml:space="preserve">FSANZ’s monitoring activities </w:t>
      </w:r>
      <w:r>
        <w:rPr>
          <w:rFonts w:ascii="Arial" w:hAnsi="Arial" w:cs="Arial"/>
          <w:sz w:val="22"/>
        </w:rPr>
        <w:t>were</w:t>
      </w:r>
      <w:r w:rsidRPr="00881218">
        <w:rPr>
          <w:rFonts w:ascii="Arial" w:hAnsi="Arial" w:cs="Arial"/>
          <w:sz w:val="22"/>
        </w:rPr>
        <w:t xml:space="preserve"> part of the monitoring framework for mandatory food fortification to determin</w:t>
      </w:r>
      <w:r>
        <w:rPr>
          <w:rFonts w:ascii="Arial" w:hAnsi="Arial" w:cs="Arial"/>
          <w:sz w:val="22"/>
        </w:rPr>
        <w:t>e</w:t>
      </w:r>
      <w:r w:rsidRPr="00881218">
        <w:rPr>
          <w:rFonts w:ascii="Arial" w:hAnsi="Arial" w:cs="Arial"/>
          <w:sz w:val="22"/>
        </w:rPr>
        <w:t xml:space="preserve"> the effectiveness of the </w:t>
      </w:r>
      <w:r w:rsidR="00B66822">
        <w:rPr>
          <w:rFonts w:ascii="Arial" w:hAnsi="Arial" w:cs="Arial"/>
          <w:sz w:val="22"/>
        </w:rPr>
        <w:t xml:space="preserve">iodine and </w:t>
      </w:r>
      <w:r w:rsidRPr="00881218">
        <w:rPr>
          <w:rFonts w:ascii="Arial" w:hAnsi="Arial" w:cs="Arial"/>
          <w:sz w:val="22"/>
        </w:rPr>
        <w:t xml:space="preserve">folic acid fortification standard. The monitoring framework was established by the Food Regulation Standing Committee (FRSC) and agreed by the Australian Population Health Development Principal Committee in August 2007, and accepted by Australian Health Ministers’ Advisory Council (AHMAC) in October 2007. </w:t>
      </w:r>
    </w:p>
    <w:p w14:paraId="5D734825" w14:textId="1C297015" w:rsidR="00E840A4" w:rsidRDefault="00E840A4" w:rsidP="00E840A4">
      <w:pPr>
        <w:rPr>
          <w:rFonts w:ascii="Arial" w:hAnsi="Arial" w:cs="Arial"/>
          <w:sz w:val="22"/>
          <w:lang w:val="en-AU" w:eastAsia="en-AU"/>
        </w:rPr>
      </w:pPr>
      <w:r w:rsidRPr="00881218">
        <w:rPr>
          <w:rFonts w:ascii="Arial" w:hAnsi="Arial" w:cs="Arial"/>
          <w:sz w:val="22"/>
        </w:rPr>
        <w:t xml:space="preserve">Details of the framework are provided in the Australian Institute of Health and Welfare’s first </w:t>
      </w:r>
      <w:r w:rsidRPr="00470935">
        <w:rPr>
          <w:rFonts w:ascii="Arial" w:hAnsi="Arial" w:cs="Arial"/>
          <w:sz w:val="22"/>
        </w:rPr>
        <w:t xml:space="preserve">report on monitoring mandatory </w:t>
      </w:r>
      <w:r w:rsidR="0027376B" w:rsidRPr="00470935">
        <w:rPr>
          <w:rFonts w:ascii="Arial" w:hAnsi="Arial" w:cs="Arial"/>
          <w:sz w:val="22"/>
        </w:rPr>
        <w:t xml:space="preserve">iodine and </w:t>
      </w:r>
      <w:r w:rsidRPr="00470935">
        <w:rPr>
          <w:rFonts w:ascii="Arial" w:hAnsi="Arial" w:cs="Arial"/>
          <w:sz w:val="22"/>
        </w:rPr>
        <w:t>folic acid for</w:t>
      </w:r>
      <w:r>
        <w:rPr>
          <w:rFonts w:ascii="Arial" w:hAnsi="Arial" w:cs="Arial"/>
          <w:sz w:val="22"/>
        </w:rPr>
        <w:t xml:space="preserve">tification in Australia and New </w:t>
      </w:r>
      <w:r w:rsidRPr="00470935">
        <w:rPr>
          <w:rFonts w:ascii="Arial" w:hAnsi="Arial" w:cs="Arial"/>
          <w:sz w:val="22"/>
        </w:rPr>
        <w:t xml:space="preserve">Zealand </w:t>
      </w:r>
      <w:r w:rsidRPr="00881218">
        <w:rPr>
          <w:rFonts w:ascii="Arial" w:hAnsi="Arial" w:cs="Arial"/>
          <w:i/>
          <w:sz w:val="22"/>
        </w:rPr>
        <w:t>(</w:t>
      </w:r>
      <w:r w:rsidRPr="00881218">
        <w:rPr>
          <w:rFonts w:ascii="Arial" w:hAnsi="Arial" w:cs="Arial"/>
          <w:sz w:val="22"/>
        </w:rPr>
        <w:t>AIHW 2011a)</w:t>
      </w:r>
      <w:r w:rsidR="00E42C3F">
        <w:rPr>
          <w:rFonts w:ascii="Arial" w:hAnsi="Arial" w:cs="Arial"/>
          <w:sz w:val="22"/>
        </w:rPr>
        <w:t>.</w:t>
      </w:r>
      <w:r>
        <w:rPr>
          <w:rFonts w:ascii="Arial" w:hAnsi="Arial" w:cs="Arial"/>
          <w:sz w:val="22"/>
        </w:rPr>
        <w:t xml:space="preserve"> </w:t>
      </w:r>
      <w:r w:rsidR="005B08F8">
        <w:rPr>
          <w:rFonts w:ascii="Arial" w:hAnsi="Arial" w:cs="Arial"/>
          <w:sz w:val="22"/>
        </w:rPr>
        <w:t>Information</w:t>
      </w:r>
      <w:r>
        <w:rPr>
          <w:rFonts w:ascii="Arial" w:hAnsi="Arial" w:cs="Arial"/>
          <w:sz w:val="22"/>
        </w:rPr>
        <w:t xml:space="preserve"> on </w:t>
      </w:r>
      <w:r w:rsidRPr="00FD51EC">
        <w:rPr>
          <w:rFonts w:ascii="Arial" w:hAnsi="Arial" w:cs="Arial"/>
          <w:sz w:val="22"/>
        </w:rPr>
        <w:t>baseline estimates of</w:t>
      </w:r>
      <w:r>
        <w:rPr>
          <w:rFonts w:ascii="Arial" w:hAnsi="Arial" w:cs="Arial"/>
          <w:sz w:val="22"/>
        </w:rPr>
        <w:t xml:space="preserve"> dietary</w:t>
      </w:r>
      <w:r w:rsidRPr="00FD51EC">
        <w:rPr>
          <w:rFonts w:ascii="Arial" w:hAnsi="Arial" w:cs="Arial"/>
          <w:sz w:val="22"/>
        </w:rPr>
        <w:t xml:space="preserve"> intakes </w:t>
      </w:r>
      <w:r>
        <w:rPr>
          <w:rFonts w:ascii="Arial" w:hAnsi="Arial" w:cs="Arial"/>
          <w:sz w:val="22"/>
        </w:rPr>
        <w:t xml:space="preserve">of </w:t>
      </w:r>
      <w:r w:rsidR="0027376B" w:rsidRPr="00FD51EC">
        <w:rPr>
          <w:rFonts w:ascii="Arial" w:hAnsi="Arial" w:cs="Arial"/>
          <w:sz w:val="22"/>
        </w:rPr>
        <w:t xml:space="preserve">iodine and </w:t>
      </w:r>
      <w:r w:rsidRPr="00FD51EC">
        <w:rPr>
          <w:rFonts w:ascii="Arial" w:hAnsi="Arial" w:cs="Arial"/>
          <w:sz w:val="22"/>
        </w:rPr>
        <w:t>folic acid in Australia</w:t>
      </w:r>
      <w:r>
        <w:rPr>
          <w:rFonts w:ascii="Arial" w:hAnsi="Arial" w:cs="Arial"/>
          <w:sz w:val="22"/>
        </w:rPr>
        <w:t>, based on</w:t>
      </w:r>
      <w:r w:rsidRPr="00FD51EC">
        <w:rPr>
          <w:rFonts w:ascii="Arial" w:hAnsi="Arial" w:cs="Arial"/>
          <w:sz w:val="22"/>
          <w:lang w:val="en-AU" w:eastAsia="en-AU"/>
        </w:rPr>
        <w:t xml:space="preserve"> work undertaken by FSANZ </w:t>
      </w:r>
      <w:r>
        <w:rPr>
          <w:rFonts w:ascii="Arial" w:hAnsi="Arial" w:cs="Arial"/>
          <w:sz w:val="22"/>
          <w:lang w:val="en-AU" w:eastAsia="en-AU"/>
        </w:rPr>
        <w:t>during the standard development phase</w:t>
      </w:r>
      <w:r w:rsidR="00E42C3F">
        <w:rPr>
          <w:rFonts w:ascii="Arial" w:hAnsi="Arial" w:cs="Arial"/>
          <w:sz w:val="22"/>
          <w:lang w:val="en-AU" w:eastAsia="en-AU"/>
        </w:rPr>
        <w:t>,</w:t>
      </w:r>
      <w:r>
        <w:rPr>
          <w:rFonts w:ascii="Arial" w:hAnsi="Arial" w:cs="Arial"/>
          <w:sz w:val="22"/>
          <w:lang w:val="en-AU" w:eastAsia="en-AU"/>
        </w:rPr>
        <w:t xml:space="preserve"> w</w:t>
      </w:r>
      <w:r w:rsidR="00E42C3F">
        <w:rPr>
          <w:rFonts w:ascii="Arial" w:hAnsi="Arial" w:cs="Arial"/>
          <w:sz w:val="22"/>
          <w:lang w:val="en-AU" w:eastAsia="en-AU"/>
        </w:rPr>
        <w:t xml:space="preserve">as </w:t>
      </w:r>
      <w:r>
        <w:rPr>
          <w:rFonts w:ascii="Arial" w:hAnsi="Arial" w:cs="Arial"/>
          <w:sz w:val="22"/>
        </w:rPr>
        <w:t xml:space="preserve">published in a supplementary monitoring report (AIHW </w:t>
      </w:r>
      <w:r w:rsidRPr="00FD51EC">
        <w:rPr>
          <w:rFonts w:ascii="Arial" w:hAnsi="Arial" w:cs="Arial"/>
          <w:sz w:val="22"/>
        </w:rPr>
        <w:t>20011b</w:t>
      </w:r>
      <w:r>
        <w:rPr>
          <w:rFonts w:ascii="Arial" w:hAnsi="Arial" w:cs="Arial"/>
          <w:sz w:val="22"/>
        </w:rPr>
        <w:t>).</w:t>
      </w:r>
    </w:p>
    <w:p w14:paraId="5D734826" w14:textId="77777777" w:rsidR="009C0893" w:rsidRDefault="009C0893" w:rsidP="009C0893">
      <w:pPr>
        <w:rPr>
          <w:rFonts w:ascii="Arial" w:hAnsi="Arial" w:cs="Arial"/>
          <w:sz w:val="22"/>
          <w:lang w:val="en-AU" w:eastAsia="en-AU"/>
        </w:rPr>
      </w:pPr>
      <w:r>
        <w:rPr>
          <w:rFonts w:ascii="Arial" w:hAnsi="Arial" w:cs="Arial"/>
          <w:sz w:val="22"/>
        </w:rPr>
        <w:t xml:space="preserve">The mandatory iodine fortification standard was also mandated in New Zealand. </w:t>
      </w:r>
      <w:r w:rsidRPr="00FD51EC">
        <w:rPr>
          <w:rFonts w:ascii="Arial" w:hAnsi="Arial" w:cs="Arial"/>
          <w:sz w:val="22"/>
        </w:rPr>
        <w:t xml:space="preserve">Monitoring </w:t>
      </w:r>
      <w:r>
        <w:rPr>
          <w:rFonts w:ascii="Arial" w:hAnsi="Arial" w:cs="Arial"/>
          <w:sz w:val="22"/>
        </w:rPr>
        <w:t xml:space="preserve">and reporting on </w:t>
      </w:r>
      <w:r w:rsidRPr="00FD51EC">
        <w:rPr>
          <w:rFonts w:ascii="Arial" w:hAnsi="Arial" w:cs="Arial"/>
          <w:sz w:val="22"/>
        </w:rPr>
        <w:t xml:space="preserve">the </w:t>
      </w:r>
      <w:r>
        <w:rPr>
          <w:rFonts w:ascii="Arial" w:hAnsi="Arial" w:cs="Arial"/>
          <w:sz w:val="22"/>
        </w:rPr>
        <w:t xml:space="preserve">dietary </w:t>
      </w:r>
      <w:r w:rsidRPr="00FD51EC">
        <w:rPr>
          <w:rFonts w:ascii="Arial" w:hAnsi="Arial" w:cs="Arial"/>
          <w:sz w:val="22"/>
        </w:rPr>
        <w:t xml:space="preserve">iodine intake of New Zealanders is the responsibility of the New Zealand Ministry </w:t>
      </w:r>
      <w:r>
        <w:rPr>
          <w:rFonts w:ascii="Arial" w:hAnsi="Arial" w:cs="Arial"/>
          <w:sz w:val="22"/>
        </w:rPr>
        <w:t>for Primary Industries</w:t>
      </w:r>
      <w:r w:rsidRPr="00FD51EC">
        <w:rPr>
          <w:rFonts w:ascii="Arial" w:hAnsi="Arial" w:cs="Arial"/>
          <w:sz w:val="22"/>
        </w:rPr>
        <w:t>.</w:t>
      </w:r>
    </w:p>
    <w:p w14:paraId="5D734827" w14:textId="77777777" w:rsidR="003F614F" w:rsidRPr="00881218" w:rsidRDefault="003F614F" w:rsidP="003F614F">
      <w:pPr>
        <w:rPr>
          <w:rFonts w:ascii="Arial" w:hAnsi="Arial" w:cs="Arial"/>
          <w:sz w:val="22"/>
        </w:rPr>
      </w:pPr>
      <w:r w:rsidRPr="00881218">
        <w:rPr>
          <w:rFonts w:ascii="Arial" w:hAnsi="Arial" w:cs="Arial"/>
          <w:sz w:val="22"/>
        </w:rPr>
        <w:t xml:space="preserve">The </w:t>
      </w:r>
      <w:r>
        <w:rPr>
          <w:rFonts w:ascii="Arial" w:hAnsi="Arial" w:cs="Arial"/>
          <w:sz w:val="22"/>
        </w:rPr>
        <w:t xml:space="preserve">impact of the implementation of the </w:t>
      </w:r>
      <w:r w:rsidRPr="00881218">
        <w:rPr>
          <w:rFonts w:ascii="Arial" w:hAnsi="Arial" w:cs="Arial"/>
          <w:sz w:val="22"/>
        </w:rPr>
        <w:t xml:space="preserve">mandatory fortification standard is </w:t>
      </w:r>
      <w:r>
        <w:rPr>
          <w:rFonts w:ascii="Arial" w:hAnsi="Arial" w:cs="Arial"/>
          <w:sz w:val="22"/>
        </w:rPr>
        <w:t>currently undergoing an</w:t>
      </w:r>
      <w:r w:rsidRPr="00881218">
        <w:rPr>
          <w:rFonts w:ascii="Arial" w:hAnsi="Arial" w:cs="Arial"/>
          <w:sz w:val="22"/>
        </w:rPr>
        <w:t xml:space="preserve"> independent review by </w:t>
      </w:r>
      <w:r>
        <w:rPr>
          <w:rFonts w:ascii="Arial" w:hAnsi="Arial" w:cs="Arial"/>
          <w:sz w:val="22"/>
        </w:rPr>
        <w:t>FRSC</w:t>
      </w:r>
      <w:r w:rsidRPr="00881218">
        <w:rPr>
          <w:rFonts w:ascii="Arial" w:hAnsi="Arial" w:cs="Arial"/>
          <w:sz w:val="22"/>
        </w:rPr>
        <w:t xml:space="preserve"> and the AHMAC in a three stage process</w:t>
      </w:r>
      <w:r>
        <w:rPr>
          <w:rFonts w:ascii="Arial" w:hAnsi="Arial" w:cs="Arial"/>
          <w:sz w:val="22"/>
        </w:rPr>
        <w:t xml:space="preserve"> that includes an evaluation of: the effectiveness of the public health initiative; the level of compliance of the food industry with the standard and impact on enforcement agencies; and, the adequacy of the monitoring framework</w:t>
      </w:r>
      <w:r w:rsidRPr="00881218">
        <w:rPr>
          <w:rFonts w:ascii="Arial" w:hAnsi="Arial" w:cs="Arial"/>
          <w:sz w:val="22"/>
        </w:rPr>
        <w:t>.</w:t>
      </w:r>
    </w:p>
    <w:p w14:paraId="5D734828" w14:textId="77777777" w:rsidR="00DD74F5" w:rsidRDefault="00DD74F5" w:rsidP="00DD74F5">
      <w:pPr>
        <w:spacing w:after="0"/>
        <w:rPr>
          <w:rFonts w:ascii="Arial" w:hAnsi="Arial" w:cs="Arial"/>
          <w:sz w:val="22"/>
        </w:rPr>
      </w:pPr>
      <w:r w:rsidRPr="00881218">
        <w:rPr>
          <w:rFonts w:ascii="Arial" w:hAnsi="Arial" w:cs="Arial"/>
          <w:sz w:val="22"/>
        </w:rPr>
        <w:t>FSANZ’s fortification monitoring activities under the framew</w:t>
      </w:r>
      <w:r>
        <w:rPr>
          <w:rFonts w:ascii="Arial" w:hAnsi="Arial" w:cs="Arial"/>
          <w:sz w:val="22"/>
        </w:rPr>
        <w:t>ork were not compliance related. T</w:t>
      </w:r>
      <w:r w:rsidRPr="00881218">
        <w:rPr>
          <w:rFonts w:ascii="Arial" w:hAnsi="Arial" w:cs="Arial"/>
          <w:sz w:val="22"/>
        </w:rPr>
        <w:t>hey aim</w:t>
      </w:r>
      <w:r>
        <w:rPr>
          <w:rFonts w:ascii="Arial" w:hAnsi="Arial" w:cs="Arial"/>
          <w:sz w:val="22"/>
        </w:rPr>
        <w:t>ed</w:t>
      </w:r>
      <w:r w:rsidRPr="00881218">
        <w:rPr>
          <w:rFonts w:ascii="Arial" w:hAnsi="Arial" w:cs="Arial"/>
          <w:sz w:val="22"/>
        </w:rPr>
        <w:t xml:space="preserve"> to determine</w:t>
      </w:r>
      <w:r>
        <w:rPr>
          <w:rFonts w:ascii="Arial" w:hAnsi="Arial" w:cs="Arial"/>
          <w:sz w:val="22"/>
        </w:rPr>
        <w:t>:</w:t>
      </w:r>
      <w:r w:rsidRPr="00881218">
        <w:rPr>
          <w:rFonts w:ascii="Arial" w:hAnsi="Arial" w:cs="Arial"/>
          <w:sz w:val="22"/>
        </w:rPr>
        <w:t xml:space="preserve"> </w:t>
      </w:r>
    </w:p>
    <w:p w14:paraId="5D734829" w14:textId="77777777" w:rsidR="00DD74F5" w:rsidRDefault="00DD74F5" w:rsidP="00DD74F5">
      <w:pPr>
        <w:spacing w:after="0"/>
        <w:rPr>
          <w:rFonts w:ascii="Arial" w:hAnsi="Arial" w:cs="Arial"/>
          <w:sz w:val="22"/>
        </w:rPr>
      </w:pPr>
    </w:p>
    <w:p w14:paraId="5D73482A" w14:textId="0C66A00D" w:rsidR="00DD74F5" w:rsidRDefault="00DD74F5" w:rsidP="00DD74F5">
      <w:pPr>
        <w:pStyle w:val="ListParagraph"/>
        <w:numPr>
          <w:ilvl w:val="0"/>
          <w:numId w:val="33"/>
        </w:numPr>
        <w:rPr>
          <w:rFonts w:ascii="Arial" w:hAnsi="Arial" w:cs="Arial"/>
          <w:sz w:val="22"/>
        </w:rPr>
      </w:pPr>
      <w:r w:rsidRPr="00721C2C">
        <w:rPr>
          <w:rFonts w:ascii="Arial" w:hAnsi="Arial" w:cs="Arial"/>
          <w:sz w:val="22"/>
        </w:rPr>
        <w:t xml:space="preserve">the </w:t>
      </w:r>
      <w:r>
        <w:rPr>
          <w:rFonts w:ascii="Arial" w:hAnsi="Arial" w:cs="Arial"/>
          <w:sz w:val="22"/>
        </w:rPr>
        <w:t>amount</w:t>
      </w:r>
      <w:r w:rsidRPr="00721C2C">
        <w:rPr>
          <w:rFonts w:ascii="Arial" w:hAnsi="Arial" w:cs="Arial"/>
          <w:sz w:val="22"/>
        </w:rPr>
        <w:t xml:space="preserve">s of </w:t>
      </w:r>
      <w:r w:rsidR="003433C0">
        <w:rPr>
          <w:rFonts w:ascii="Arial" w:hAnsi="Arial" w:cs="Arial"/>
          <w:sz w:val="22"/>
        </w:rPr>
        <w:t xml:space="preserve">iodine </w:t>
      </w:r>
      <w:r>
        <w:rPr>
          <w:rFonts w:ascii="Arial" w:hAnsi="Arial" w:cs="Arial"/>
          <w:sz w:val="22"/>
        </w:rPr>
        <w:t xml:space="preserve">and </w:t>
      </w:r>
      <w:r w:rsidR="003433C0" w:rsidRPr="00721C2C">
        <w:rPr>
          <w:rFonts w:ascii="Arial" w:hAnsi="Arial" w:cs="Arial"/>
          <w:sz w:val="22"/>
        </w:rPr>
        <w:t xml:space="preserve">folic acid </w:t>
      </w:r>
      <w:r w:rsidRPr="00721C2C">
        <w:rPr>
          <w:rFonts w:ascii="Arial" w:hAnsi="Arial" w:cs="Arial"/>
          <w:sz w:val="22"/>
        </w:rPr>
        <w:t>in bread and related products</w:t>
      </w:r>
      <w:r>
        <w:rPr>
          <w:rFonts w:ascii="Arial" w:hAnsi="Arial" w:cs="Arial"/>
          <w:sz w:val="22"/>
        </w:rPr>
        <w:t xml:space="preserve"> on the Australian market after fortification</w:t>
      </w:r>
      <w:r w:rsidRPr="00721C2C">
        <w:rPr>
          <w:rFonts w:ascii="Arial" w:hAnsi="Arial" w:cs="Arial"/>
          <w:sz w:val="22"/>
        </w:rPr>
        <w:t xml:space="preserve"> </w:t>
      </w:r>
    </w:p>
    <w:p w14:paraId="5D73482B" w14:textId="77777777" w:rsidR="00DD74F5" w:rsidRDefault="00DD74F5" w:rsidP="00DD74F5">
      <w:pPr>
        <w:pStyle w:val="ListParagraph"/>
        <w:numPr>
          <w:ilvl w:val="0"/>
          <w:numId w:val="33"/>
        </w:numPr>
        <w:rPr>
          <w:rFonts w:ascii="Arial" w:hAnsi="Arial" w:cs="Arial"/>
          <w:sz w:val="22"/>
        </w:rPr>
      </w:pPr>
      <w:r w:rsidRPr="00721C2C">
        <w:rPr>
          <w:rFonts w:ascii="Arial" w:hAnsi="Arial" w:cs="Arial"/>
          <w:sz w:val="22"/>
        </w:rPr>
        <w:lastRenderedPageBreak/>
        <w:t xml:space="preserve">whether </w:t>
      </w:r>
      <w:r>
        <w:rPr>
          <w:rFonts w:ascii="Arial" w:hAnsi="Arial" w:cs="Arial"/>
          <w:sz w:val="22"/>
        </w:rPr>
        <w:t>estimated</w:t>
      </w:r>
      <w:r w:rsidRPr="00721C2C">
        <w:rPr>
          <w:rFonts w:ascii="Arial" w:hAnsi="Arial" w:cs="Arial"/>
          <w:sz w:val="22"/>
        </w:rPr>
        <w:t xml:space="preserve"> </w:t>
      </w:r>
      <w:r>
        <w:rPr>
          <w:rFonts w:ascii="Arial" w:hAnsi="Arial" w:cs="Arial"/>
          <w:sz w:val="22"/>
        </w:rPr>
        <w:t xml:space="preserve">dietary </w:t>
      </w:r>
      <w:r w:rsidRPr="00721C2C">
        <w:rPr>
          <w:rFonts w:ascii="Arial" w:hAnsi="Arial" w:cs="Arial"/>
          <w:sz w:val="22"/>
        </w:rPr>
        <w:t>intake</w:t>
      </w:r>
      <w:r>
        <w:rPr>
          <w:rFonts w:ascii="Arial" w:hAnsi="Arial" w:cs="Arial"/>
          <w:sz w:val="22"/>
        </w:rPr>
        <w:t xml:space="preserve"> level</w:t>
      </w:r>
      <w:r w:rsidRPr="00721C2C">
        <w:rPr>
          <w:rFonts w:ascii="Arial" w:hAnsi="Arial" w:cs="Arial"/>
          <w:sz w:val="22"/>
        </w:rPr>
        <w:t xml:space="preserve">s within the target group and the other sub-groups of the Australian population increased following </w:t>
      </w:r>
      <w:r>
        <w:rPr>
          <w:rFonts w:ascii="Arial" w:hAnsi="Arial" w:cs="Arial"/>
          <w:sz w:val="22"/>
        </w:rPr>
        <w:t xml:space="preserve">mandatory </w:t>
      </w:r>
      <w:r w:rsidRPr="00721C2C">
        <w:rPr>
          <w:rFonts w:ascii="Arial" w:hAnsi="Arial" w:cs="Arial"/>
          <w:sz w:val="22"/>
        </w:rPr>
        <w:t>fortification when compared to intake levels before fortification</w:t>
      </w:r>
    </w:p>
    <w:p w14:paraId="5D73482C" w14:textId="77777777" w:rsidR="00DD74F5" w:rsidRDefault="00DD74F5" w:rsidP="00DD74F5">
      <w:pPr>
        <w:pStyle w:val="ListParagraph"/>
        <w:numPr>
          <w:ilvl w:val="0"/>
          <w:numId w:val="33"/>
        </w:numPr>
        <w:rPr>
          <w:rFonts w:ascii="Arial" w:hAnsi="Arial" w:cs="Arial"/>
          <w:sz w:val="22"/>
        </w:rPr>
      </w:pPr>
      <w:proofErr w:type="gramStart"/>
      <w:r>
        <w:rPr>
          <w:rFonts w:ascii="Arial" w:hAnsi="Arial" w:cs="Arial"/>
          <w:sz w:val="22"/>
        </w:rPr>
        <w:t>major</w:t>
      </w:r>
      <w:proofErr w:type="gramEnd"/>
      <w:r>
        <w:rPr>
          <w:rFonts w:ascii="Arial" w:hAnsi="Arial" w:cs="Arial"/>
          <w:sz w:val="22"/>
        </w:rPr>
        <w:t xml:space="preserve"> </w:t>
      </w:r>
      <w:r w:rsidR="00E42C3F">
        <w:rPr>
          <w:rFonts w:ascii="Arial" w:hAnsi="Arial" w:cs="Arial"/>
          <w:sz w:val="22"/>
        </w:rPr>
        <w:t xml:space="preserve">food or food group </w:t>
      </w:r>
      <w:r>
        <w:rPr>
          <w:rFonts w:ascii="Arial" w:hAnsi="Arial" w:cs="Arial"/>
          <w:sz w:val="22"/>
        </w:rPr>
        <w:t>contributors to total folic acid and total iodine intakes before and after fortification.</w:t>
      </w:r>
      <w:r w:rsidRPr="00721C2C">
        <w:rPr>
          <w:rFonts w:ascii="Arial" w:hAnsi="Arial" w:cs="Arial"/>
          <w:sz w:val="22"/>
        </w:rPr>
        <w:t xml:space="preserve"> </w:t>
      </w:r>
    </w:p>
    <w:p w14:paraId="5D73482D" w14:textId="77777777" w:rsidR="00DD74F5" w:rsidRPr="001C1052" w:rsidRDefault="00DD74F5" w:rsidP="00DD74F5">
      <w:pPr>
        <w:rPr>
          <w:rFonts w:ascii="Arial" w:hAnsi="Arial" w:cs="Arial"/>
          <w:sz w:val="22"/>
        </w:rPr>
      </w:pPr>
      <w:r>
        <w:rPr>
          <w:rFonts w:ascii="Arial" w:hAnsi="Arial" w:cs="Arial"/>
          <w:sz w:val="22"/>
        </w:rPr>
        <w:t>In addition, c</w:t>
      </w:r>
      <w:r w:rsidRPr="001C1052">
        <w:rPr>
          <w:rFonts w:ascii="Arial" w:hAnsi="Arial" w:cs="Arial"/>
          <w:sz w:val="22"/>
        </w:rPr>
        <w:t>onsumer</w:t>
      </w:r>
      <w:r>
        <w:rPr>
          <w:rFonts w:ascii="Arial" w:hAnsi="Arial" w:cs="Arial"/>
          <w:sz w:val="22"/>
        </w:rPr>
        <w:t>s’</w:t>
      </w:r>
      <w:r w:rsidRPr="001C1052">
        <w:rPr>
          <w:rFonts w:ascii="Arial" w:hAnsi="Arial" w:cs="Arial"/>
          <w:sz w:val="22"/>
        </w:rPr>
        <w:t xml:space="preserve"> attitudes to fortification of food </w:t>
      </w:r>
      <w:r>
        <w:rPr>
          <w:rFonts w:ascii="Arial" w:hAnsi="Arial" w:cs="Arial"/>
          <w:sz w:val="22"/>
        </w:rPr>
        <w:t>were also researched by FSANZ</w:t>
      </w:r>
      <w:r w:rsidRPr="001C1052">
        <w:rPr>
          <w:rFonts w:ascii="Arial" w:hAnsi="Arial" w:cs="Arial"/>
          <w:sz w:val="22"/>
        </w:rPr>
        <w:t xml:space="preserve">. The reports on two surveys (qualitative and quantitative) on consumer awareness, attitudes and behaviour to fortified foods </w:t>
      </w:r>
      <w:r>
        <w:rPr>
          <w:rFonts w:ascii="Arial" w:hAnsi="Arial" w:cs="Arial"/>
          <w:sz w:val="22"/>
        </w:rPr>
        <w:t>were</w:t>
      </w:r>
      <w:r w:rsidRPr="001C1052">
        <w:rPr>
          <w:rFonts w:ascii="Arial" w:hAnsi="Arial" w:cs="Arial"/>
          <w:sz w:val="22"/>
        </w:rPr>
        <w:t xml:space="preserve"> published </w:t>
      </w:r>
      <w:r>
        <w:rPr>
          <w:rFonts w:ascii="Arial" w:hAnsi="Arial" w:cs="Arial"/>
          <w:sz w:val="22"/>
        </w:rPr>
        <w:t xml:space="preserve">previously </w:t>
      </w:r>
      <w:r w:rsidRPr="001C1052">
        <w:rPr>
          <w:rFonts w:ascii="Arial" w:hAnsi="Arial" w:cs="Arial"/>
          <w:sz w:val="22"/>
        </w:rPr>
        <w:t>on the FSANZ website</w:t>
      </w:r>
      <w:r>
        <w:rPr>
          <w:rFonts w:ascii="Arial" w:hAnsi="Arial" w:cs="Arial"/>
          <w:sz w:val="22"/>
        </w:rPr>
        <w:t xml:space="preserve"> and are </w:t>
      </w:r>
      <w:r w:rsidRPr="001C1052">
        <w:rPr>
          <w:rFonts w:ascii="Arial" w:hAnsi="Arial" w:cs="Arial"/>
          <w:sz w:val="22"/>
        </w:rPr>
        <w:t>not part of this report</w:t>
      </w:r>
      <w:r>
        <w:rPr>
          <w:rFonts w:ascii="Arial" w:hAnsi="Arial" w:cs="Arial"/>
          <w:sz w:val="22"/>
        </w:rPr>
        <w:t xml:space="preserve"> (FSANZ 2010 and FSANZ</w:t>
      </w:r>
      <w:r w:rsidRPr="00881218">
        <w:rPr>
          <w:rFonts w:ascii="Arial" w:hAnsi="Arial" w:cs="Arial"/>
          <w:sz w:val="22"/>
        </w:rPr>
        <w:t xml:space="preserve"> 2013)</w:t>
      </w:r>
      <w:r>
        <w:rPr>
          <w:rStyle w:val="FootnoteReference"/>
          <w:rFonts w:ascii="Arial" w:hAnsi="Arial" w:cs="Arial"/>
          <w:sz w:val="22"/>
        </w:rPr>
        <w:footnoteReference w:id="2"/>
      </w:r>
      <w:r w:rsidRPr="001C1052">
        <w:rPr>
          <w:rFonts w:ascii="Arial" w:hAnsi="Arial" w:cs="Arial"/>
          <w:sz w:val="22"/>
        </w:rPr>
        <w:t>.</w:t>
      </w:r>
    </w:p>
    <w:p w14:paraId="5D73482E" w14:textId="77777777" w:rsidR="002D79FF" w:rsidRDefault="002D79FF" w:rsidP="009E2D35">
      <w:pPr>
        <w:rPr>
          <w:rFonts w:ascii="Arial" w:hAnsi="Arial" w:cs="Arial"/>
          <w:sz w:val="22"/>
        </w:rPr>
      </w:pPr>
    </w:p>
    <w:p w14:paraId="5D73482F" w14:textId="77777777" w:rsidR="00073BF8" w:rsidRPr="00EF198C" w:rsidRDefault="0030376D" w:rsidP="00CC5193">
      <w:pPr>
        <w:pStyle w:val="Heading1"/>
        <w:spacing w:after="200"/>
        <w:ind w:left="0" w:firstLine="0"/>
        <w:rPr>
          <w:rFonts w:ascii="Arial" w:hAnsi="Arial" w:cs="Arial"/>
          <w:sz w:val="24"/>
          <w:szCs w:val="24"/>
        </w:rPr>
      </w:pPr>
      <w:bookmarkStart w:id="2" w:name="_Toc430854493"/>
      <w:r w:rsidRPr="00EF198C">
        <w:rPr>
          <w:rFonts w:ascii="Arial" w:hAnsi="Arial" w:cs="Arial"/>
          <w:sz w:val="24"/>
          <w:szCs w:val="24"/>
        </w:rPr>
        <w:t>2.0</w:t>
      </w:r>
      <w:r w:rsidRPr="00EF198C">
        <w:rPr>
          <w:rFonts w:ascii="Arial" w:hAnsi="Arial" w:cs="Arial"/>
          <w:sz w:val="24"/>
          <w:szCs w:val="24"/>
        </w:rPr>
        <w:tab/>
      </w:r>
      <w:r w:rsidR="001E0D34" w:rsidRPr="00EF198C">
        <w:rPr>
          <w:rFonts w:ascii="Arial" w:hAnsi="Arial" w:cs="Arial"/>
          <w:sz w:val="24"/>
          <w:szCs w:val="24"/>
        </w:rPr>
        <w:tab/>
      </w:r>
      <w:r w:rsidR="00073BF8" w:rsidRPr="00EF198C">
        <w:rPr>
          <w:rFonts w:ascii="Arial" w:hAnsi="Arial" w:cs="Arial"/>
          <w:sz w:val="24"/>
          <w:szCs w:val="24"/>
        </w:rPr>
        <w:t>Background</w:t>
      </w:r>
      <w:bookmarkStart w:id="3" w:name="_Toc303090566"/>
      <w:r w:rsidR="00073BF8" w:rsidRPr="00EF198C">
        <w:rPr>
          <w:rFonts w:ascii="Arial" w:hAnsi="Arial" w:cs="Arial"/>
          <w:sz w:val="24"/>
          <w:szCs w:val="24"/>
        </w:rPr>
        <w:t xml:space="preserve"> to development of the </w:t>
      </w:r>
      <w:bookmarkEnd w:id="3"/>
      <w:r w:rsidR="00C5051A" w:rsidRPr="00EF198C">
        <w:rPr>
          <w:rFonts w:ascii="Arial" w:hAnsi="Arial" w:cs="Arial"/>
          <w:sz w:val="24"/>
          <w:szCs w:val="24"/>
        </w:rPr>
        <w:t>iodine f</w:t>
      </w:r>
      <w:r w:rsidRPr="00EF198C">
        <w:rPr>
          <w:rFonts w:ascii="Arial" w:hAnsi="Arial" w:cs="Arial"/>
          <w:sz w:val="24"/>
          <w:szCs w:val="24"/>
        </w:rPr>
        <w:t xml:space="preserve">ortification </w:t>
      </w:r>
      <w:r w:rsidR="00C5051A" w:rsidRPr="00EF198C">
        <w:rPr>
          <w:rFonts w:ascii="Arial" w:hAnsi="Arial" w:cs="Arial"/>
          <w:sz w:val="24"/>
          <w:szCs w:val="24"/>
        </w:rPr>
        <w:t>s</w:t>
      </w:r>
      <w:r w:rsidR="00073BF8" w:rsidRPr="00EF198C">
        <w:rPr>
          <w:rFonts w:ascii="Arial" w:hAnsi="Arial" w:cs="Arial"/>
          <w:sz w:val="24"/>
          <w:szCs w:val="24"/>
        </w:rPr>
        <w:t>tandard</w:t>
      </w:r>
      <w:bookmarkEnd w:id="2"/>
    </w:p>
    <w:p w14:paraId="5D734830" w14:textId="77777777" w:rsidR="00764389" w:rsidRDefault="00073BF8" w:rsidP="00CC5193">
      <w:pPr>
        <w:autoSpaceDE w:val="0"/>
        <w:autoSpaceDN w:val="0"/>
        <w:adjustRightInd w:val="0"/>
        <w:rPr>
          <w:rFonts w:ascii="Arial" w:hAnsi="Arial" w:cs="Arial"/>
          <w:sz w:val="22"/>
        </w:rPr>
      </w:pPr>
      <w:r w:rsidRPr="00FD51EC">
        <w:rPr>
          <w:rFonts w:ascii="Arial" w:hAnsi="Arial" w:cs="Arial"/>
          <w:sz w:val="22"/>
        </w:rPr>
        <w:t>In response to the advice from Health Ministers</w:t>
      </w:r>
      <w:r w:rsidR="0021123C">
        <w:rPr>
          <w:rFonts w:ascii="Arial" w:hAnsi="Arial" w:cs="Arial"/>
          <w:sz w:val="22"/>
        </w:rPr>
        <w:t xml:space="preserve"> in 2008</w:t>
      </w:r>
      <w:r w:rsidRPr="00FD51EC">
        <w:rPr>
          <w:rFonts w:ascii="Arial" w:hAnsi="Arial" w:cs="Arial"/>
          <w:sz w:val="22"/>
        </w:rPr>
        <w:t>, FSANZ developed the mandatory iodine fortification standard for Australia and New Zealand</w:t>
      </w:r>
      <w:r w:rsidR="0021123C">
        <w:rPr>
          <w:rFonts w:ascii="Arial" w:hAnsi="Arial" w:cs="Arial"/>
          <w:sz w:val="22"/>
        </w:rPr>
        <w:t xml:space="preserve"> in 2009</w:t>
      </w:r>
      <w:r w:rsidR="004745E8">
        <w:rPr>
          <w:rFonts w:ascii="Arial" w:hAnsi="Arial" w:cs="Arial"/>
          <w:sz w:val="22"/>
        </w:rPr>
        <w:t xml:space="preserve">. </w:t>
      </w:r>
      <w:r w:rsidRPr="00FD51EC">
        <w:rPr>
          <w:rFonts w:ascii="Arial" w:hAnsi="Arial" w:cs="Arial"/>
          <w:sz w:val="22"/>
        </w:rPr>
        <w:t xml:space="preserve">The new food standard required the replacement of non-iodised salt with iodised salt in making </w:t>
      </w:r>
      <w:r w:rsidR="00AD630F" w:rsidRPr="00FD51EC">
        <w:rPr>
          <w:rFonts w:ascii="Arial" w:hAnsi="Arial" w:cs="Arial"/>
          <w:sz w:val="22"/>
        </w:rPr>
        <w:t xml:space="preserve">wheat-flour based </w:t>
      </w:r>
      <w:r w:rsidRPr="00FD51EC">
        <w:rPr>
          <w:rFonts w:ascii="Arial" w:hAnsi="Arial" w:cs="Arial"/>
          <w:sz w:val="22"/>
        </w:rPr>
        <w:t xml:space="preserve">breads except </w:t>
      </w:r>
      <w:r w:rsidR="00D776EF">
        <w:rPr>
          <w:rFonts w:ascii="Arial" w:hAnsi="Arial" w:cs="Arial"/>
          <w:sz w:val="22"/>
        </w:rPr>
        <w:t>breads</w:t>
      </w:r>
      <w:r w:rsidRPr="00FD51EC">
        <w:rPr>
          <w:rFonts w:ascii="Arial" w:hAnsi="Arial" w:cs="Arial"/>
          <w:sz w:val="22"/>
        </w:rPr>
        <w:t xml:space="preserve"> represented as ‘organic’. </w:t>
      </w:r>
      <w:r w:rsidR="00764389">
        <w:rPr>
          <w:rFonts w:ascii="Arial" w:eastAsia="Calibri" w:hAnsi="Arial" w:cs="Arial"/>
          <w:sz w:val="22"/>
        </w:rPr>
        <w:t>The</w:t>
      </w:r>
      <w:r w:rsidR="00764389" w:rsidRPr="00FD51EC">
        <w:rPr>
          <w:rFonts w:ascii="Arial" w:hAnsi="Arial" w:cs="Arial"/>
          <w:sz w:val="22"/>
        </w:rPr>
        <w:t xml:space="preserve"> </w:t>
      </w:r>
      <w:r w:rsidR="004964DF">
        <w:rPr>
          <w:rFonts w:ascii="Arial" w:hAnsi="Arial" w:cs="Arial"/>
          <w:sz w:val="22"/>
        </w:rPr>
        <w:t xml:space="preserve">Australia New Zealand </w:t>
      </w:r>
      <w:r w:rsidR="00764389" w:rsidRPr="00FD51EC">
        <w:rPr>
          <w:rFonts w:ascii="Arial" w:hAnsi="Arial" w:cs="Arial"/>
          <w:sz w:val="22"/>
        </w:rPr>
        <w:t xml:space="preserve">Food Standards Code </w:t>
      </w:r>
      <w:r w:rsidR="00764389">
        <w:rPr>
          <w:rFonts w:ascii="Arial" w:hAnsi="Arial" w:cs="Arial"/>
          <w:sz w:val="22"/>
        </w:rPr>
        <w:t xml:space="preserve">requires iodised salt to consist of </w:t>
      </w:r>
      <w:r w:rsidR="00764389" w:rsidRPr="00FD51EC">
        <w:rPr>
          <w:rFonts w:ascii="Arial" w:hAnsi="Arial" w:cs="Arial"/>
          <w:sz w:val="22"/>
        </w:rPr>
        <w:t>potassium iodide or iodate, or sodium iodide or iodate equivalent</w:t>
      </w:r>
      <w:r w:rsidR="00764389" w:rsidRPr="00FD51EC">
        <w:rPr>
          <w:rStyle w:val="FootnoteReference"/>
          <w:rFonts w:ascii="Arial" w:hAnsi="Arial" w:cs="Arial"/>
          <w:sz w:val="22"/>
        </w:rPr>
        <w:footnoteReference w:id="3"/>
      </w:r>
      <w:r w:rsidR="00764389">
        <w:rPr>
          <w:rFonts w:ascii="Arial" w:hAnsi="Arial" w:cs="Arial"/>
          <w:sz w:val="22"/>
        </w:rPr>
        <w:t xml:space="preserve"> with the iodine component </w:t>
      </w:r>
      <w:r w:rsidR="00764389" w:rsidRPr="00FD51EC">
        <w:rPr>
          <w:rFonts w:ascii="Arial" w:hAnsi="Arial" w:cs="Arial"/>
          <w:sz w:val="22"/>
        </w:rPr>
        <w:t xml:space="preserve">given as </w:t>
      </w:r>
      <w:r w:rsidR="00D776EF">
        <w:rPr>
          <w:rFonts w:ascii="Arial" w:hAnsi="Arial" w:cs="Arial"/>
          <w:sz w:val="22"/>
        </w:rPr>
        <w:t xml:space="preserve">a </w:t>
      </w:r>
      <w:r w:rsidR="00764389" w:rsidRPr="00FD51EC">
        <w:rPr>
          <w:rFonts w:ascii="Arial" w:hAnsi="Arial" w:cs="Arial"/>
          <w:sz w:val="22"/>
        </w:rPr>
        <w:t>range</w:t>
      </w:r>
      <w:r w:rsidR="00D776EF">
        <w:rPr>
          <w:rFonts w:ascii="Arial" w:hAnsi="Arial" w:cs="Arial"/>
          <w:sz w:val="22"/>
        </w:rPr>
        <w:t xml:space="preserve"> of 25-65 mg</w:t>
      </w:r>
      <w:r w:rsidR="00764389">
        <w:rPr>
          <w:rFonts w:ascii="Arial" w:hAnsi="Arial" w:cs="Arial"/>
          <w:sz w:val="22"/>
        </w:rPr>
        <w:t xml:space="preserve"> of iodine/kg of salt.</w:t>
      </w:r>
    </w:p>
    <w:p w14:paraId="5D734831" w14:textId="02C0BA6B" w:rsidR="00764389" w:rsidRDefault="00073BF8" w:rsidP="00CC5193">
      <w:pPr>
        <w:rPr>
          <w:rFonts w:ascii="Arial" w:hAnsi="Arial" w:cs="Arial"/>
          <w:sz w:val="22"/>
        </w:rPr>
      </w:pPr>
      <w:r w:rsidRPr="00FD51EC">
        <w:rPr>
          <w:rFonts w:ascii="Arial" w:hAnsi="Arial" w:cs="Arial"/>
          <w:sz w:val="22"/>
        </w:rPr>
        <w:t>Bread was selected as the food vehicle because it is widely consumed within the Australian and New Zealand population</w:t>
      </w:r>
      <w:r w:rsidR="00526858">
        <w:rPr>
          <w:rFonts w:ascii="Arial" w:hAnsi="Arial" w:cs="Arial"/>
          <w:sz w:val="22"/>
        </w:rPr>
        <w:t>s</w:t>
      </w:r>
      <w:r w:rsidRPr="00FD51EC">
        <w:rPr>
          <w:rFonts w:ascii="Arial" w:hAnsi="Arial" w:cs="Arial"/>
          <w:sz w:val="22"/>
        </w:rPr>
        <w:t xml:space="preserve">, and by the target groups. </w:t>
      </w:r>
      <w:r w:rsidR="008A52F0" w:rsidRPr="002C63D5">
        <w:rPr>
          <w:rFonts w:ascii="Arial" w:hAnsi="Arial" w:cs="Arial"/>
          <w:sz w:val="22"/>
        </w:rPr>
        <w:t>The specific pu</w:t>
      </w:r>
      <w:r w:rsidR="008A52F0">
        <w:rPr>
          <w:rFonts w:ascii="Arial" w:hAnsi="Arial" w:cs="Arial"/>
          <w:sz w:val="22"/>
        </w:rPr>
        <w:t>rpose of the regulatory measure</w:t>
      </w:r>
      <w:r w:rsidR="008A52F0" w:rsidRPr="002C63D5">
        <w:rPr>
          <w:rFonts w:ascii="Arial" w:hAnsi="Arial" w:cs="Arial"/>
          <w:sz w:val="22"/>
        </w:rPr>
        <w:t xml:space="preserve"> was to reduce the prevalence of iodine deficiency in Australia</w:t>
      </w:r>
      <w:r w:rsidR="008A52F0">
        <w:rPr>
          <w:rFonts w:ascii="Arial" w:hAnsi="Arial" w:cs="Arial"/>
          <w:sz w:val="22"/>
        </w:rPr>
        <w:t xml:space="preserve"> and New Zealand</w:t>
      </w:r>
      <w:r w:rsidR="008A52F0" w:rsidRPr="002C63D5">
        <w:rPr>
          <w:rFonts w:ascii="Arial" w:hAnsi="Arial" w:cs="Arial"/>
          <w:sz w:val="22"/>
        </w:rPr>
        <w:t>, especially in children</w:t>
      </w:r>
      <w:r w:rsidR="004964DF">
        <w:rPr>
          <w:rFonts w:ascii="Arial" w:hAnsi="Arial" w:cs="Arial"/>
          <w:sz w:val="22"/>
        </w:rPr>
        <w:t>. The reduction was to be</w:t>
      </w:r>
      <w:r w:rsidR="008A52F0" w:rsidRPr="002C63D5">
        <w:rPr>
          <w:rFonts w:ascii="Arial" w:hAnsi="Arial" w:cs="Arial"/>
          <w:sz w:val="22"/>
        </w:rPr>
        <w:t xml:space="preserve"> to the maximum extent possible so as to reduce the risk of physical and mental impairment</w:t>
      </w:r>
      <w:r w:rsidR="004964DF">
        <w:rPr>
          <w:rFonts w:ascii="Arial" w:hAnsi="Arial" w:cs="Arial"/>
          <w:sz w:val="22"/>
        </w:rPr>
        <w:t xml:space="preserve"> in children</w:t>
      </w:r>
      <w:r w:rsidR="008A52F0" w:rsidRPr="002C63D5">
        <w:rPr>
          <w:rFonts w:ascii="Arial" w:hAnsi="Arial" w:cs="Arial"/>
          <w:sz w:val="22"/>
        </w:rPr>
        <w:t xml:space="preserve">, and thyroid disease across all age groups. </w:t>
      </w:r>
      <w:r w:rsidR="008A52F0" w:rsidRPr="00FD51EC">
        <w:rPr>
          <w:rFonts w:ascii="Arial" w:hAnsi="Arial" w:cs="Arial"/>
          <w:sz w:val="22"/>
        </w:rPr>
        <w:t xml:space="preserve">The identified target groups for mandatory iodine fortification were </w:t>
      </w:r>
      <w:r w:rsidR="004964DF">
        <w:rPr>
          <w:rFonts w:ascii="Arial" w:hAnsi="Arial" w:cs="Arial"/>
          <w:sz w:val="22"/>
        </w:rPr>
        <w:t xml:space="preserve">therefore </w:t>
      </w:r>
      <w:r w:rsidR="008A52F0" w:rsidRPr="00FD51EC">
        <w:rPr>
          <w:rFonts w:ascii="Arial" w:hAnsi="Arial" w:cs="Arial"/>
          <w:sz w:val="22"/>
        </w:rPr>
        <w:t xml:space="preserve">young children aged 2-3 years, breast-feeding </w:t>
      </w:r>
      <w:r w:rsidR="00F343F7">
        <w:rPr>
          <w:rFonts w:ascii="Arial" w:hAnsi="Arial" w:cs="Arial"/>
          <w:sz w:val="22"/>
        </w:rPr>
        <w:t>females</w:t>
      </w:r>
      <w:r w:rsidR="008A52F0" w:rsidRPr="00FD51EC">
        <w:rPr>
          <w:rFonts w:ascii="Arial" w:hAnsi="Arial" w:cs="Arial"/>
          <w:sz w:val="22"/>
        </w:rPr>
        <w:t xml:space="preserve"> and </w:t>
      </w:r>
      <w:r w:rsidR="00F343F7">
        <w:rPr>
          <w:rFonts w:ascii="Arial" w:hAnsi="Arial" w:cs="Arial"/>
          <w:sz w:val="22"/>
        </w:rPr>
        <w:t>females</w:t>
      </w:r>
      <w:r w:rsidR="008A52F0" w:rsidRPr="00FD51EC">
        <w:rPr>
          <w:rFonts w:ascii="Arial" w:hAnsi="Arial" w:cs="Arial"/>
          <w:sz w:val="22"/>
        </w:rPr>
        <w:t xml:space="preserve"> of child-bearing age (16-44 years old).</w:t>
      </w:r>
      <w:r w:rsidR="00764389">
        <w:rPr>
          <w:rFonts w:ascii="Arial" w:hAnsi="Arial" w:cs="Arial"/>
          <w:sz w:val="22"/>
        </w:rPr>
        <w:t xml:space="preserve"> </w:t>
      </w:r>
      <w:r w:rsidR="00764389" w:rsidRPr="00FD51EC">
        <w:rPr>
          <w:rFonts w:ascii="Arial" w:hAnsi="Arial" w:cs="Arial"/>
          <w:sz w:val="22"/>
        </w:rPr>
        <w:t>The concentration of iodine in iodised salt</w:t>
      </w:r>
      <w:r w:rsidR="00764389">
        <w:rPr>
          <w:rFonts w:ascii="Arial" w:hAnsi="Arial" w:cs="Arial"/>
          <w:sz w:val="22"/>
        </w:rPr>
        <w:t xml:space="preserve"> added to bread </w:t>
      </w:r>
      <w:r w:rsidR="00E21AB5">
        <w:rPr>
          <w:rFonts w:ascii="Arial" w:hAnsi="Arial" w:cs="Arial"/>
          <w:sz w:val="22"/>
        </w:rPr>
        <w:t>was</w:t>
      </w:r>
      <w:r w:rsidR="00764389" w:rsidRPr="00FD51EC">
        <w:rPr>
          <w:rFonts w:ascii="Arial" w:hAnsi="Arial" w:cs="Arial"/>
          <w:sz w:val="22"/>
        </w:rPr>
        <w:t xml:space="preserve"> </w:t>
      </w:r>
      <w:r w:rsidR="00E21AB5">
        <w:rPr>
          <w:rFonts w:ascii="Arial" w:hAnsi="Arial" w:cs="Arial"/>
          <w:sz w:val="22"/>
        </w:rPr>
        <w:t>set such that</w:t>
      </w:r>
      <w:r w:rsidR="00764389" w:rsidRPr="00FD51EC">
        <w:rPr>
          <w:rFonts w:ascii="Arial" w:hAnsi="Arial" w:cs="Arial"/>
          <w:sz w:val="22"/>
        </w:rPr>
        <w:t xml:space="preserve"> the general population</w:t>
      </w:r>
      <w:r w:rsidR="00E21AB5">
        <w:rPr>
          <w:rFonts w:ascii="Arial" w:hAnsi="Arial" w:cs="Arial"/>
          <w:sz w:val="22"/>
        </w:rPr>
        <w:t>,</w:t>
      </w:r>
      <w:r w:rsidR="00764389" w:rsidRPr="00FD51EC">
        <w:rPr>
          <w:rFonts w:ascii="Arial" w:hAnsi="Arial" w:cs="Arial"/>
          <w:sz w:val="22"/>
        </w:rPr>
        <w:t xml:space="preserve"> especially young children</w:t>
      </w:r>
      <w:r w:rsidR="00E21AB5">
        <w:rPr>
          <w:rFonts w:ascii="Arial" w:hAnsi="Arial" w:cs="Arial"/>
          <w:sz w:val="22"/>
        </w:rPr>
        <w:t>,</w:t>
      </w:r>
      <w:r w:rsidR="00764389" w:rsidRPr="00FD51EC">
        <w:rPr>
          <w:rFonts w:ascii="Arial" w:hAnsi="Arial" w:cs="Arial"/>
          <w:sz w:val="22"/>
        </w:rPr>
        <w:t xml:space="preserve"> </w:t>
      </w:r>
      <w:r w:rsidR="00E21AB5">
        <w:rPr>
          <w:rFonts w:ascii="Arial" w:hAnsi="Arial" w:cs="Arial"/>
          <w:sz w:val="22"/>
        </w:rPr>
        <w:t xml:space="preserve">was protected </w:t>
      </w:r>
      <w:r w:rsidR="00764389" w:rsidRPr="00FD51EC">
        <w:rPr>
          <w:rFonts w:ascii="Arial" w:hAnsi="Arial" w:cs="Arial"/>
          <w:sz w:val="22"/>
        </w:rPr>
        <w:t xml:space="preserve">from </w:t>
      </w:r>
      <w:r w:rsidR="00E21AB5">
        <w:rPr>
          <w:rFonts w:ascii="Arial" w:hAnsi="Arial" w:cs="Arial"/>
          <w:sz w:val="22"/>
        </w:rPr>
        <w:t>iodine intakes</w:t>
      </w:r>
      <w:r w:rsidR="00764389" w:rsidRPr="00FD51EC">
        <w:rPr>
          <w:rFonts w:ascii="Arial" w:hAnsi="Arial" w:cs="Arial"/>
          <w:sz w:val="22"/>
        </w:rPr>
        <w:t xml:space="preserve"> that exceed</w:t>
      </w:r>
      <w:r w:rsidR="00764389">
        <w:rPr>
          <w:rFonts w:ascii="Arial" w:hAnsi="Arial" w:cs="Arial"/>
          <w:sz w:val="22"/>
        </w:rPr>
        <w:t>ed</w:t>
      </w:r>
      <w:r w:rsidR="00764389" w:rsidRPr="00FD51EC">
        <w:rPr>
          <w:rFonts w:ascii="Arial" w:hAnsi="Arial" w:cs="Arial"/>
          <w:sz w:val="22"/>
        </w:rPr>
        <w:t xml:space="preserve"> recommended upper levels.</w:t>
      </w:r>
    </w:p>
    <w:p w14:paraId="5D734832" w14:textId="77777777" w:rsidR="00F30BFB" w:rsidRPr="009D04DD" w:rsidRDefault="00F30BFB" w:rsidP="00CC5193"/>
    <w:p w14:paraId="5D734833" w14:textId="77777777" w:rsidR="00F30BFB" w:rsidRPr="00EF198C" w:rsidRDefault="008F3AA1" w:rsidP="00CC5193">
      <w:pPr>
        <w:pStyle w:val="Heading1"/>
        <w:spacing w:after="200"/>
        <w:ind w:left="0" w:firstLine="0"/>
        <w:rPr>
          <w:rFonts w:ascii="Arial" w:hAnsi="Arial" w:cs="Arial"/>
          <w:sz w:val="24"/>
          <w:szCs w:val="24"/>
        </w:rPr>
      </w:pPr>
      <w:bookmarkStart w:id="4" w:name="_Toc430854494"/>
      <w:r w:rsidRPr="00EF198C">
        <w:rPr>
          <w:rFonts w:ascii="Arial" w:hAnsi="Arial" w:cs="Arial"/>
          <w:sz w:val="24"/>
          <w:szCs w:val="24"/>
        </w:rPr>
        <w:t>3.0</w:t>
      </w:r>
      <w:r w:rsidRPr="00EF198C">
        <w:rPr>
          <w:rFonts w:ascii="Arial" w:hAnsi="Arial" w:cs="Arial"/>
          <w:sz w:val="24"/>
          <w:szCs w:val="24"/>
        </w:rPr>
        <w:tab/>
      </w:r>
      <w:r w:rsidRPr="00EF198C">
        <w:rPr>
          <w:rFonts w:ascii="Arial" w:hAnsi="Arial" w:cs="Arial"/>
          <w:sz w:val="24"/>
          <w:szCs w:val="24"/>
        </w:rPr>
        <w:tab/>
      </w:r>
      <w:r w:rsidR="00EA608D" w:rsidRPr="00EF198C">
        <w:rPr>
          <w:rFonts w:ascii="Arial" w:hAnsi="Arial" w:cs="Arial"/>
          <w:sz w:val="24"/>
          <w:szCs w:val="24"/>
        </w:rPr>
        <w:t>FSANZ</w:t>
      </w:r>
      <w:r w:rsidR="007845AA" w:rsidRPr="00EF198C">
        <w:rPr>
          <w:rFonts w:ascii="Arial" w:hAnsi="Arial" w:cs="Arial"/>
          <w:sz w:val="24"/>
          <w:szCs w:val="24"/>
        </w:rPr>
        <w:t>’s</w:t>
      </w:r>
      <w:r w:rsidR="00EA608D" w:rsidRPr="00EF198C">
        <w:rPr>
          <w:rFonts w:ascii="Arial" w:hAnsi="Arial" w:cs="Arial"/>
          <w:sz w:val="24"/>
          <w:szCs w:val="24"/>
        </w:rPr>
        <w:t xml:space="preserve"> </w:t>
      </w:r>
      <w:r w:rsidR="003B584E" w:rsidRPr="00EF198C">
        <w:rPr>
          <w:rFonts w:ascii="Arial" w:hAnsi="Arial" w:cs="Arial"/>
          <w:sz w:val="24"/>
          <w:szCs w:val="24"/>
        </w:rPr>
        <w:t>b</w:t>
      </w:r>
      <w:r w:rsidR="008A570B" w:rsidRPr="00EF198C">
        <w:rPr>
          <w:rFonts w:ascii="Arial" w:hAnsi="Arial" w:cs="Arial"/>
          <w:sz w:val="24"/>
          <w:szCs w:val="24"/>
        </w:rPr>
        <w:t xml:space="preserve">read </w:t>
      </w:r>
      <w:r w:rsidR="003B584E" w:rsidRPr="00EF198C">
        <w:rPr>
          <w:rFonts w:ascii="Arial" w:hAnsi="Arial" w:cs="Arial"/>
          <w:sz w:val="24"/>
          <w:szCs w:val="24"/>
        </w:rPr>
        <w:t>s</w:t>
      </w:r>
      <w:r w:rsidR="008A570B" w:rsidRPr="00EF198C">
        <w:rPr>
          <w:rFonts w:ascii="Arial" w:hAnsi="Arial" w:cs="Arial"/>
          <w:sz w:val="24"/>
          <w:szCs w:val="24"/>
        </w:rPr>
        <w:t>urvey</w:t>
      </w:r>
      <w:r w:rsidR="005E3AB6" w:rsidRPr="00EF198C">
        <w:rPr>
          <w:rFonts w:ascii="Arial" w:hAnsi="Arial" w:cs="Arial"/>
          <w:sz w:val="24"/>
          <w:szCs w:val="24"/>
        </w:rPr>
        <w:t>s</w:t>
      </w:r>
      <w:bookmarkEnd w:id="4"/>
    </w:p>
    <w:p w14:paraId="5D734834" w14:textId="2629C95E" w:rsidR="0052631B" w:rsidRDefault="0052631B" w:rsidP="0052631B">
      <w:pPr>
        <w:rPr>
          <w:rFonts w:ascii="Arial" w:hAnsi="Arial" w:cs="Arial"/>
          <w:sz w:val="22"/>
        </w:rPr>
      </w:pPr>
      <w:r>
        <w:rPr>
          <w:rFonts w:ascii="Arial" w:hAnsi="Arial" w:cs="Arial"/>
          <w:sz w:val="22"/>
        </w:rPr>
        <w:t>As part of the FSANZ monitoring activities several bread surveys were undertaken</w:t>
      </w:r>
      <w:r w:rsidDel="00565C38">
        <w:rPr>
          <w:rFonts w:ascii="Arial" w:hAnsi="Arial" w:cs="Arial"/>
          <w:sz w:val="22"/>
        </w:rPr>
        <w:t xml:space="preserve"> </w:t>
      </w:r>
      <w:r>
        <w:rPr>
          <w:rFonts w:ascii="Arial" w:hAnsi="Arial" w:cs="Arial"/>
          <w:sz w:val="22"/>
        </w:rPr>
        <w:t xml:space="preserve">to determine the amount of </w:t>
      </w:r>
      <w:r w:rsidR="001104EA">
        <w:rPr>
          <w:rFonts w:ascii="Arial" w:hAnsi="Arial" w:cs="Arial"/>
          <w:sz w:val="22"/>
        </w:rPr>
        <w:t xml:space="preserve">iodine and </w:t>
      </w:r>
      <w:r>
        <w:rPr>
          <w:rFonts w:ascii="Arial" w:hAnsi="Arial" w:cs="Arial"/>
          <w:sz w:val="22"/>
        </w:rPr>
        <w:t>folic acid in commonly consumed breads available on the Australian market</w:t>
      </w:r>
      <w:r w:rsidR="00F30BFB" w:rsidRPr="00FD51EC">
        <w:rPr>
          <w:rFonts w:ascii="Arial" w:hAnsi="Arial" w:cs="Arial"/>
          <w:sz w:val="22"/>
        </w:rPr>
        <w:t xml:space="preserve"> </w:t>
      </w:r>
      <w:r w:rsidR="00AD0753">
        <w:rPr>
          <w:rFonts w:ascii="Arial" w:hAnsi="Arial" w:cs="Arial"/>
          <w:sz w:val="22"/>
        </w:rPr>
        <w:t>with assistance from</w:t>
      </w:r>
      <w:r w:rsidR="00393A92">
        <w:rPr>
          <w:rFonts w:ascii="Arial" w:hAnsi="Arial" w:cs="Arial"/>
          <w:sz w:val="22"/>
        </w:rPr>
        <w:t xml:space="preserve"> </w:t>
      </w:r>
      <w:r w:rsidR="005418D2">
        <w:rPr>
          <w:rFonts w:ascii="Arial" w:hAnsi="Arial" w:cs="Arial"/>
          <w:sz w:val="22"/>
        </w:rPr>
        <w:t>the states and territories</w:t>
      </w:r>
      <w:r w:rsidR="00AD0753">
        <w:rPr>
          <w:rFonts w:ascii="Arial" w:hAnsi="Arial" w:cs="Arial"/>
          <w:sz w:val="22"/>
        </w:rPr>
        <w:t xml:space="preserve"> as part of the Implementation Subcommittee on Food Regulation (ISFR) </w:t>
      </w:r>
      <w:r w:rsidR="00FD6513">
        <w:rPr>
          <w:rFonts w:ascii="Arial" w:hAnsi="Arial" w:cs="Arial"/>
          <w:sz w:val="22"/>
        </w:rPr>
        <w:t xml:space="preserve">National </w:t>
      </w:r>
      <w:r w:rsidR="00AD0753">
        <w:rPr>
          <w:rFonts w:ascii="Arial" w:hAnsi="Arial" w:cs="Arial"/>
          <w:sz w:val="22"/>
        </w:rPr>
        <w:t>Coordinated Food Survey Plan</w:t>
      </w:r>
      <w:r w:rsidR="00393A92">
        <w:rPr>
          <w:rFonts w:ascii="Arial" w:hAnsi="Arial" w:cs="Arial"/>
          <w:sz w:val="22"/>
        </w:rPr>
        <w:t>.</w:t>
      </w:r>
      <w:r w:rsidR="00F30BFB" w:rsidRPr="00FD51EC">
        <w:rPr>
          <w:rFonts w:ascii="Arial" w:hAnsi="Arial" w:cs="Arial"/>
          <w:sz w:val="22"/>
        </w:rPr>
        <w:t xml:space="preserve"> </w:t>
      </w:r>
      <w:r w:rsidR="00FD6513" w:rsidRPr="00881218">
        <w:rPr>
          <w:rFonts w:ascii="Arial" w:hAnsi="Arial" w:cs="Arial"/>
          <w:sz w:val="22"/>
        </w:rPr>
        <w:t>T</w:t>
      </w:r>
      <w:r w:rsidR="00FD6513">
        <w:rPr>
          <w:rFonts w:ascii="Arial" w:hAnsi="Arial" w:cs="Arial"/>
          <w:sz w:val="22"/>
        </w:rPr>
        <w:t xml:space="preserve">hree </w:t>
      </w:r>
      <w:r w:rsidR="00FD6513" w:rsidRPr="00881218">
        <w:rPr>
          <w:rFonts w:ascii="Arial" w:hAnsi="Arial" w:cs="Arial"/>
          <w:sz w:val="22"/>
        </w:rPr>
        <w:t xml:space="preserve">surveys were to determine the amounts of </w:t>
      </w:r>
      <w:r w:rsidR="000F6DB6">
        <w:rPr>
          <w:rFonts w:ascii="Arial" w:hAnsi="Arial" w:cs="Arial"/>
          <w:sz w:val="22"/>
        </w:rPr>
        <w:t>iodine</w:t>
      </w:r>
      <w:r w:rsidR="00FD6513" w:rsidRPr="00881218">
        <w:rPr>
          <w:rFonts w:ascii="Arial" w:hAnsi="Arial" w:cs="Arial"/>
          <w:sz w:val="22"/>
        </w:rPr>
        <w:t xml:space="preserve"> in the different bread types </w:t>
      </w:r>
      <w:r w:rsidR="00FD6513">
        <w:rPr>
          <w:rFonts w:ascii="Arial" w:hAnsi="Arial" w:cs="Arial"/>
          <w:sz w:val="22"/>
        </w:rPr>
        <w:t xml:space="preserve">commonly </w:t>
      </w:r>
      <w:r w:rsidR="00FD6513" w:rsidRPr="00881218">
        <w:rPr>
          <w:rFonts w:ascii="Arial" w:hAnsi="Arial" w:cs="Arial"/>
          <w:sz w:val="22"/>
        </w:rPr>
        <w:t>consumed by Australians following implementation of the mandatory fortification standard.</w:t>
      </w:r>
    </w:p>
    <w:p w14:paraId="5D734835" w14:textId="77777777" w:rsidR="00D93279" w:rsidRDefault="00D93279" w:rsidP="00CC5193">
      <w:pPr>
        <w:tabs>
          <w:tab w:val="clear" w:pos="567"/>
        </w:tabs>
        <w:rPr>
          <w:rFonts w:ascii="Arial" w:hAnsi="Arial" w:cs="Arial"/>
          <w:sz w:val="22"/>
        </w:rPr>
      </w:pPr>
    </w:p>
    <w:p w14:paraId="5D734836" w14:textId="77777777" w:rsidR="00AC796A" w:rsidRDefault="00D93279" w:rsidP="00CC5193">
      <w:pPr>
        <w:tabs>
          <w:tab w:val="clear" w:pos="567"/>
        </w:tabs>
        <w:rPr>
          <w:rFonts w:ascii="Arial" w:hAnsi="Arial" w:cs="Arial"/>
          <w:sz w:val="22"/>
        </w:rPr>
      </w:pPr>
      <w:r w:rsidRPr="00FD51EC">
        <w:rPr>
          <w:rFonts w:ascii="Arial" w:hAnsi="Arial" w:cs="Arial"/>
          <w:sz w:val="22"/>
        </w:rPr>
        <w:t xml:space="preserve">The first </w:t>
      </w:r>
      <w:r>
        <w:rPr>
          <w:rFonts w:ascii="Arial" w:hAnsi="Arial" w:cs="Arial"/>
          <w:sz w:val="22"/>
        </w:rPr>
        <w:t xml:space="preserve">bread </w:t>
      </w:r>
      <w:r w:rsidRPr="00FD51EC">
        <w:rPr>
          <w:rFonts w:ascii="Arial" w:hAnsi="Arial" w:cs="Arial"/>
          <w:sz w:val="22"/>
        </w:rPr>
        <w:t xml:space="preserve">survey (phase 1) was in June/July 2010, nine to ten months after implementation of the mandatory fortification standard. The second </w:t>
      </w:r>
      <w:r>
        <w:rPr>
          <w:rFonts w:ascii="Arial" w:hAnsi="Arial" w:cs="Arial"/>
          <w:sz w:val="22"/>
        </w:rPr>
        <w:t xml:space="preserve">bread </w:t>
      </w:r>
      <w:r w:rsidRPr="00FD51EC">
        <w:rPr>
          <w:rFonts w:ascii="Arial" w:hAnsi="Arial" w:cs="Arial"/>
          <w:sz w:val="22"/>
        </w:rPr>
        <w:t xml:space="preserve">survey (phase 2) was in March/April 2012 and the third (phase 3) was undertaken in late April, through May into early June 2013. The bread samples for phases 1 and 2 were purchased from representative food retail outlets in the capital cities of all Australian States and Territories. Phase 3 samples were only sourced from four jurisdictions, Western Australia, Victoria, Queensland and the Australia Capital Territory. </w:t>
      </w:r>
    </w:p>
    <w:p w14:paraId="5D734837" w14:textId="77777777" w:rsidR="00AC796A" w:rsidRDefault="00AC796A" w:rsidP="00CC5193">
      <w:pPr>
        <w:tabs>
          <w:tab w:val="clear" w:pos="567"/>
        </w:tabs>
        <w:rPr>
          <w:rFonts w:ascii="Arial" w:hAnsi="Arial" w:cs="Arial"/>
          <w:sz w:val="22"/>
        </w:rPr>
      </w:pPr>
      <w:r w:rsidRPr="00FD51EC">
        <w:rPr>
          <w:rFonts w:ascii="Arial" w:hAnsi="Arial" w:cs="Arial"/>
          <w:sz w:val="22"/>
        </w:rPr>
        <w:t xml:space="preserve">The approach was important in determining the amounts of iodine </w:t>
      </w:r>
      <w:r>
        <w:rPr>
          <w:rFonts w:ascii="Arial" w:hAnsi="Arial" w:cs="Arial"/>
          <w:sz w:val="22"/>
        </w:rPr>
        <w:t xml:space="preserve">in </w:t>
      </w:r>
      <w:r w:rsidRPr="00FD51EC">
        <w:rPr>
          <w:rFonts w:ascii="Arial" w:hAnsi="Arial" w:cs="Arial"/>
          <w:sz w:val="22"/>
        </w:rPr>
        <w:t xml:space="preserve">breads </w:t>
      </w:r>
      <w:r>
        <w:rPr>
          <w:rFonts w:ascii="Arial" w:hAnsi="Arial" w:cs="Arial"/>
          <w:sz w:val="22"/>
        </w:rPr>
        <w:t>consumed by Australians in all the jurisdictions</w:t>
      </w:r>
      <w:r w:rsidRPr="00FD51EC">
        <w:rPr>
          <w:rFonts w:ascii="Arial" w:hAnsi="Arial" w:cs="Arial"/>
          <w:sz w:val="22"/>
        </w:rPr>
        <w:t xml:space="preserve"> and </w:t>
      </w:r>
      <w:r w:rsidR="00FB572E">
        <w:rPr>
          <w:rFonts w:ascii="Arial" w:hAnsi="Arial" w:cs="Arial"/>
          <w:sz w:val="22"/>
        </w:rPr>
        <w:t>the consistency in iodine</w:t>
      </w:r>
      <w:r w:rsidRPr="00FD51EC">
        <w:rPr>
          <w:rFonts w:ascii="Arial" w:hAnsi="Arial" w:cs="Arial"/>
          <w:sz w:val="22"/>
        </w:rPr>
        <w:t xml:space="preserve"> amounts at different points in time. </w:t>
      </w:r>
      <w:r w:rsidRPr="004608D0">
        <w:rPr>
          <w:rFonts w:ascii="Arial" w:hAnsi="Arial" w:cs="Arial"/>
          <w:sz w:val="22"/>
        </w:rPr>
        <w:t>Figure 1</w:t>
      </w:r>
      <w:r>
        <w:rPr>
          <w:rFonts w:ascii="Arial" w:hAnsi="Arial" w:cs="Arial"/>
          <w:sz w:val="22"/>
        </w:rPr>
        <w:t xml:space="preserve"> is a </w:t>
      </w:r>
      <w:r w:rsidRPr="00C91FCE">
        <w:rPr>
          <w:rFonts w:ascii="Arial" w:hAnsi="Arial" w:cs="Arial"/>
          <w:sz w:val="22"/>
        </w:rPr>
        <w:t>representation of FSANZ's bread survey sampling periods</w:t>
      </w:r>
      <w:r>
        <w:rPr>
          <w:rFonts w:ascii="Arial" w:hAnsi="Arial" w:cs="Arial"/>
          <w:sz w:val="22"/>
        </w:rPr>
        <w:t>.</w:t>
      </w:r>
    </w:p>
    <w:p w14:paraId="5D734838" w14:textId="77777777" w:rsidR="00102CBC" w:rsidRDefault="00D93279" w:rsidP="000C576F">
      <w:pPr>
        <w:rPr>
          <w:rFonts w:ascii="Arial" w:hAnsi="Arial" w:cs="Arial"/>
          <w:sz w:val="22"/>
        </w:rPr>
      </w:pPr>
      <w:r w:rsidRPr="00FD51EC">
        <w:rPr>
          <w:rFonts w:ascii="Arial" w:hAnsi="Arial" w:cs="Arial"/>
          <w:sz w:val="22"/>
        </w:rPr>
        <w:t xml:space="preserve">The samples were chemically analysed </w:t>
      </w:r>
      <w:r>
        <w:rPr>
          <w:rFonts w:ascii="Arial" w:hAnsi="Arial" w:cs="Arial"/>
          <w:sz w:val="22"/>
        </w:rPr>
        <w:t>by</w:t>
      </w:r>
      <w:r w:rsidRPr="00FD51EC">
        <w:rPr>
          <w:rFonts w:ascii="Arial" w:hAnsi="Arial" w:cs="Arial"/>
          <w:sz w:val="22"/>
        </w:rPr>
        <w:t xml:space="preserve"> the National Measurement Institute (NMI) of Australia’s food analytical laboratories in Melbourne</w:t>
      </w:r>
      <w:r w:rsidR="00D43F2C">
        <w:rPr>
          <w:rFonts w:ascii="Arial" w:hAnsi="Arial" w:cs="Arial"/>
          <w:sz w:val="22"/>
        </w:rPr>
        <w:t>.</w:t>
      </w:r>
    </w:p>
    <w:p w14:paraId="5D734839" w14:textId="77777777" w:rsidR="00102CBC" w:rsidRDefault="00102CBC" w:rsidP="00CC5193">
      <w:pPr>
        <w:tabs>
          <w:tab w:val="clear" w:pos="567"/>
        </w:tabs>
        <w:rPr>
          <w:rFonts w:ascii="Arial" w:hAnsi="Arial" w:cs="Arial"/>
          <w:sz w:val="22"/>
        </w:rPr>
      </w:pPr>
      <w:r w:rsidRPr="00FD51EC">
        <w:rPr>
          <w:rFonts w:ascii="Arial" w:hAnsi="Arial" w:cs="Arial"/>
          <w:b/>
          <w:noProof/>
          <w:sz w:val="22"/>
          <w:lang w:eastAsia="en-GB"/>
        </w:rPr>
        <w:drawing>
          <wp:inline distT="0" distB="0" distL="0" distR="0" wp14:anchorId="5D734D65" wp14:editId="65BCBDD7">
            <wp:extent cx="5759450" cy="2691153"/>
            <wp:effectExtent l="0" t="0" r="0" b="0"/>
            <wp:docPr id="17" name="Diagram 17" title="Figure 1: Diagrammatic representation of FSANZ's iodine bread survey sampling period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73483A" w14:textId="77777777" w:rsidR="003919C8" w:rsidRDefault="00FC0097" w:rsidP="00CC5193">
      <w:pPr>
        <w:pStyle w:val="Caption"/>
        <w:spacing w:after="200" w:line="276" w:lineRule="auto"/>
      </w:pPr>
      <w:bookmarkStart w:id="5" w:name="_Toc430854547"/>
      <w:r>
        <w:t xml:space="preserve">Figure </w:t>
      </w:r>
      <w:r w:rsidR="001E1660">
        <w:fldChar w:fldCharType="begin"/>
      </w:r>
      <w:r w:rsidR="001E1660">
        <w:instrText xml:space="preserve"> SEQ Figure \* ARABIC </w:instrText>
      </w:r>
      <w:r w:rsidR="001E1660">
        <w:fldChar w:fldCharType="separate"/>
      </w:r>
      <w:r w:rsidR="00A41217">
        <w:rPr>
          <w:noProof/>
        </w:rPr>
        <w:t>1</w:t>
      </w:r>
      <w:r w:rsidR="001E1660">
        <w:rPr>
          <w:noProof/>
        </w:rPr>
        <w:fldChar w:fldCharType="end"/>
      </w:r>
      <w:r>
        <w:t xml:space="preserve">: Diagrammatic representation of FSANZ's </w:t>
      </w:r>
      <w:r w:rsidR="00FA5DE5">
        <w:t xml:space="preserve">iodine </w:t>
      </w:r>
      <w:r>
        <w:t>bread survey sampling periods</w:t>
      </w:r>
      <w:bookmarkEnd w:id="5"/>
    </w:p>
    <w:p w14:paraId="5D73483C" w14:textId="77777777" w:rsidR="00336C12" w:rsidRPr="005E3AB6" w:rsidRDefault="00C901C2" w:rsidP="00D43F2C">
      <w:pPr>
        <w:pStyle w:val="Heading2"/>
      </w:pPr>
      <w:bookmarkStart w:id="6" w:name="_Toc430854495"/>
      <w:r>
        <w:t>3.1</w:t>
      </w:r>
      <w:r>
        <w:tab/>
      </w:r>
      <w:r w:rsidR="00F8248D" w:rsidRPr="005E3AB6">
        <w:t xml:space="preserve">Survey </w:t>
      </w:r>
      <w:r w:rsidR="00336C12" w:rsidRPr="005E3AB6">
        <w:t>Methodology</w:t>
      </w:r>
      <w:bookmarkEnd w:id="6"/>
    </w:p>
    <w:p w14:paraId="5D73483D" w14:textId="77777777" w:rsidR="0002000B" w:rsidRPr="0002000B" w:rsidRDefault="001F4AE6" w:rsidP="00622A8C">
      <w:pPr>
        <w:pStyle w:val="Heading3"/>
      </w:pPr>
      <w:bookmarkStart w:id="7" w:name="_Toc430854496"/>
      <w:r>
        <w:t>3.1.1</w:t>
      </w:r>
      <w:r>
        <w:tab/>
      </w:r>
      <w:r w:rsidR="00336C12" w:rsidRPr="00FD51EC">
        <w:t xml:space="preserve">General </w:t>
      </w:r>
      <w:r w:rsidR="006B7EB6">
        <w:t>sampling p</w:t>
      </w:r>
      <w:r w:rsidR="00336C12" w:rsidRPr="00FD51EC">
        <w:t>rotocol</w:t>
      </w:r>
      <w:bookmarkEnd w:id="7"/>
    </w:p>
    <w:p w14:paraId="5D73483E" w14:textId="77777777" w:rsidR="00AF6B2F" w:rsidRPr="00FD51EC" w:rsidRDefault="0002655D" w:rsidP="00CC5193">
      <w:pPr>
        <w:rPr>
          <w:rFonts w:ascii="Arial" w:hAnsi="Arial" w:cs="Arial"/>
          <w:sz w:val="22"/>
        </w:rPr>
      </w:pPr>
      <w:r>
        <w:rPr>
          <w:rFonts w:ascii="Arial" w:hAnsi="Arial" w:cs="Arial"/>
          <w:sz w:val="22"/>
        </w:rPr>
        <w:t>To undertake the first bread survey in 2010, FSANZ researched m</w:t>
      </w:r>
      <w:r w:rsidR="00AF6B2F" w:rsidRPr="00FD51EC">
        <w:rPr>
          <w:rFonts w:ascii="Arial" w:hAnsi="Arial" w:cs="Arial"/>
          <w:sz w:val="22"/>
        </w:rPr>
        <w:t xml:space="preserve">arket share data from </w:t>
      </w:r>
      <w:r w:rsidR="003C386B" w:rsidRPr="00FD51EC">
        <w:rPr>
          <w:rFonts w:ascii="Arial" w:hAnsi="Arial" w:cs="Arial"/>
          <w:sz w:val="22"/>
        </w:rPr>
        <w:t>the 2009 Retail World’s Australasian Grocery Guide (19</w:t>
      </w:r>
      <w:r w:rsidR="003C386B" w:rsidRPr="00FD51EC">
        <w:rPr>
          <w:rFonts w:ascii="Arial" w:hAnsi="Arial" w:cs="Arial"/>
          <w:sz w:val="22"/>
          <w:vertAlign w:val="superscript"/>
        </w:rPr>
        <w:t>th</w:t>
      </w:r>
      <w:r w:rsidR="003C386B" w:rsidRPr="00FD51EC">
        <w:rPr>
          <w:rFonts w:ascii="Arial" w:hAnsi="Arial" w:cs="Arial"/>
          <w:sz w:val="22"/>
        </w:rPr>
        <w:t xml:space="preserve"> edition, p59)</w:t>
      </w:r>
      <w:r>
        <w:rPr>
          <w:rFonts w:ascii="Arial" w:hAnsi="Arial" w:cs="Arial"/>
          <w:sz w:val="22"/>
        </w:rPr>
        <w:t>. The information presented</w:t>
      </w:r>
      <w:r w:rsidR="003C386B" w:rsidRPr="00FD51EC">
        <w:rPr>
          <w:rFonts w:ascii="Arial" w:hAnsi="Arial" w:cs="Arial"/>
          <w:sz w:val="22"/>
        </w:rPr>
        <w:t xml:space="preserve"> </w:t>
      </w:r>
      <w:r w:rsidR="00867A48" w:rsidRPr="00FD51EC">
        <w:rPr>
          <w:rFonts w:ascii="Arial" w:hAnsi="Arial" w:cs="Arial"/>
          <w:sz w:val="22"/>
        </w:rPr>
        <w:t>showed</w:t>
      </w:r>
      <w:r w:rsidR="005418D2">
        <w:rPr>
          <w:rFonts w:ascii="Arial" w:hAnsi="Arial" w:cs="Arial"/>
          <w:sz w:val="22"/>
        </w:rPr>
        <w:t xml:space="preserve"> that in Australia,</w:t>
      </w:r>
      <w:r w:rsidR="005418D2" w:rsidRPr="00FD51EC">
        <w:rPr>
          <w:rFonts w:ascii="Arial" w:hAnsi="Arial" w:cs="Arial"/>
          <w:sz w:val="22"/>
        </w:rPr>
        <w:t xml:space="preserve"> </w:t>
      </w:r>
      <w:r w:rsidR="00867A48" w:rsidRPr="00FD51EC">
        <w:rPr>
          <w:rFonts w:ascii="Arial" w:hAnsi="Arial" w:cs="Arial"/>
          <w:sz w:val="22"/>
        </w:rPr>
        <w:t xml:space="preserve">‘Bread loaf’ </w:t>
      </w:r>
      <w:r w:rsidR="005418D2">
        <w:rPr>
          <w:rFonts w:ascii="Arial" w:hAnsi="Arial" w:cs="Arial"/>
          <w:sz w:val="22"/>
        </w:rPr>
        <w:t>w</w:t>
      </w:r>
      <w:r w:rsidR="00867A48" w:rsidRPr="00FD51EC">
        <w:rPr>
          <w:rFonts w:ascii="Arial" w:hAnsi="Arial" w:cs="Arial"/>
          <w:sz w:val="22"/>
        </w:rPr>
        <w:t xml:space="preserve">as the bread </w:t>
      </w:r>
      <w:r w:rsidR="009A641A">
        <w:rPr>
          <w:rFonts w:ascii="Arial" w:hAnsi="Arial" w:cs="Arial"/>
          <w:sz w:val="22"/>
        </w:rPr>
        <w:t>type</w:t>
      </w:r>
      <w:r w:rsidR="00867A48" w:rsidRPr="00FD51EC">
        <w:rPr>
          <w:rFonts w:ascii="Arial" w:hAnsi="Arial" w:cs="Arial"/>
          <w:sz w:val="22"/>
        </w:rPr>
        <w:t xml:space="preserve"> with the </w:t>
      </w:r>
      <w:r w:rsidR="003C386B" w:rsidRPr="00FD51EC">
        <w:rPr>
          <w:rFonts w:ascii="Arial" w:hAnsi="Arial" w:cs="Arial"/>
          <w:sz w:val="22"/>
        </w:rPr>
        <w:t xml:space="preserve">highest </w:t>
      </w:r>
      <w:r w:rsidR="00867A48" w:rsidRPr="00FD51EC">
        <w:rPr>
          <w:rFonts w:ascii="Arial" w:hAnsi="Arial" w:cs="Arial"/>
          <w:sz w:val="22"/>
        </w:rPr>
        <w:t xml:space="preserve">market share (58%) </w:t>
      </w:r>
      <w:r w:rsidR="003C386B" w:rsidRPr="00FD51EC">
        <w:rPr>
          <w:rFonts w:ascii="Arial" w:hAnsi="Arial" w:cs="Arial"/>
          <w:sz w:val="22"/>
        </w:rPr>
        <w:t xml:space="preserve">of </w:t>
      </w:r>
      <w:r w:rsidR="00867A48" w:rsidRPr="00FD51EC">
        <w:rPr>
          <w:rFonts w:ascii="Arial" w:hAnsi="Arial" w:cs="Arial"/>
          <w:sz w:val="22"/>
        </w:rPr>
        <w:t xml:space="preserve">the </w:t>
      </w:r>
      <w:r w:rsidR="00725614" w:rsidRPr="00FD51EC">
        <w:rPr>
          <w:rFonts w:ascii="Arial" w:hAnsi="Arial" w:cs="Arial"/>
          <w:sz w:val="22"/>
        </w:rPr>
        <w:t>B</w:t>
      </w:r>
      <w:r w:rsidR="00725614" w:rsidRPr="00FD51EC">
        <w:rPr>
          <w:rFonts w:ascii="Arial" w:hAnsi="Arial" w:cs="Arial"/>
          <w:i/>
          <w:sz w:val="22"/>
        </w:rPr>
        <w:t>read, Rolls and H</w:t>
      </w:r>
      <w:r w:rsidR="00867A48" w:rsidRPr="00FD51EC">
        <w:rPr>
          <w:rFonts w:ascii="Arial" w:hAnsi="Arial" w:cs="Arial"/>
          <w:i/>
          <w:sz w:val="22"/>
        </w:rPr>
        <w:t>otplate</w:t>
      </w:r>
      <w:r w:rsidR="00725614" w:rsidRPr="00FD51EC">
        <w:rPr>
          <w:rFonts w:ascii="Arial" w:hAnsi="Arial" w:cs="Arial"/>
          <w:sz w:val="22"/>
        </w:rPr>
        <w:t xml:space="preserve"> food category</w:t>
      </w:r>
      <w:r w:rsidR="00867A48" w:rsidRPr="00FD51EC">
        <w:rPr>
          <w:rFonts w:ascii="Arial" w:hAnsi="Arial" w:cs="Arial"/>
          <w:sz w:val="22"/>
        </w:rPr>
        <w:t>.</w:t>
      </w:r>
      <w:r w:rsidR="007A11D6">
        <w:rPr>
          <w:rFonts w:ascii="Arial" w:hAnsi="Arial" w:cs="Arial"/>
          <w:sz w:val="22"/>
        </w:rPr>
        <w:t xml:space="preserve"> It also provided data on the major bread loaves that were commonly consumed.</w:t>
      </w:r>
      <w:r w:rsidR="003C386B" w:rsidRPr="00FD51EC">
        <w:rPr>
          <w:rFonts w:ascii="Arial" w:hAnsi="Arial" w:cs="Arial"/>
          <w:sz w:val="22"/>
        </w:rPr>
        <w:t xml:space="preserve"> FSANZ </w:t>
      </w:r>
      <w:r w:rsidR="00867A48" w:rsidRPr="00FD51EC">
        <w:rPr>
          <w:rFonts w:ascii="Arial" w:hAnsi="Arial" w:cs="Arial"/>
          <w:sz w:val="22"/>
        </w:rPr>
        <w:t xml:space="preserve">therefore </w:t>
      </w:r>
      <w:r w:rsidR="003C386B" w:rsidRPr="00FD51EC">
        <w:rPr>
          <w:rFonts w:ascii="Arial" w:hAnsi="Arial" w:cs="Arial"/>
          <w:sz w:val="22"/>
        </w:rPr>
        <w:t xml:space="preserve">decided to sample </w:t>
      </w:r>
      <w:r w:rsidR="006B473F" w:rsidRPr="00FD51EC">
        <w:rPr>
          <w:rFonts w:ascii="Arial" w:hAnsi="Arial" w:cs="Arial"/>
          <w:sz w:val="22"/>
        </w:rPr>
        <w:t>for its bread survey</w:t>
      </w:r>
      <w:r w:rsidR="006B473F">
        <w:rPr>
          <w:rFonts w:ascii="Arial" w:hAnsi="Arial" w:cs="Arial"/>
          <w:sz w:val="22"/>
        </w:rPr>
        <w:t xml:space="preserve">s </w:t>
      </w:r>
      <w:r w:rsidR="005418D2">
        <w:rPr>
          <w:rFonts w:ascii="Arial" w:hAnsi="Arial" w:cs="Arial"/>
          <w:sz w:val="22"/>
        </w:rPr>
        <w:t xml:space="preserve">the </w:t>
      </w:r>
      <w:r w:rsidR="00DB4EA5">
        <w:rPr>
          <w:rFonts w:ascii="Arial" w:hAnsi="Arial" w:cs="Arial"/>
          <w:sz w:val="22"/>
        </w:rPr>
        <w:t xml:space="preserve">three </w:t>
      </w:r>
      <w:r w:rsidR="005418D2">
        <w:rPr>
          <w:rFonts w:ascii="Arial" w:hAnsi="Arial" w:cs="Arial"/>
          <w:sz w:val="22"/>
        </w:rPr>
        <w:t xml:space="preserve">main types of </w:t>
      </w:r>
      <w:r w:rsidR="003C386B" w:rsidRPr="00FD51EC">
        <w:rPr>
          <w:rFonts w:ascii="Arial" w:hAnsi="Arial" w:cs="Arial"/>
          <w:sz w:val="22"/>
        </w:rPr>
        <w:t>sandwich breads</w:t>
      </w:r>
      <w:r w:rsidR="006B473F">
        <w:rPr>
          <w:rFonts w:ascii="Arial" w:hAnsi="Arial" w:cs="Arial"/>
          <w:sz w:val="22"/>
        </w:rPr>
        <w:t xml:space="preserve"> (</w:t>
      </w:r>
      <w:r w:rsidR="006B473F" w:rsidRPr="006B473F">
        <w:rPr>
          <w:rFonts w:ascii="Arial" w:hAnsi="Arial" w:cs="Arial"/>
          <w:i/>
          <w:sz w:val="22"/>
        </w:rPr>
        <w:t>bread loaf</w:t>
      </w:r>
      <w:r w:rsidR="006B473F">
        <w:rPr>
          <w:rFonts w:ascii="Arial" w:hAnsi="Arial" w:cs="Arial"/>
          <w:sz w:val="22"/>
        </w:rPr>
        <w:t>)</w:t>
      </w:r>
      <w:r w:rsidR="003C386B" w:rsidRPr="00FD51EC">
        <w:rPr>
          <w:rFonts w:ascii="Arial" w:hAnsi="Arial" w:cs="Arial"/>
          <w:sz w:val="22"/>
        </w:rPr>
        <w:t xml:space="preserve"> </w:t>
      </w:r>
      <w:r w:rsidR="005418D2">
        <w:rPr>
          <w:rFonts w:ascii="Arial" w:hAnsi="Arial" w:cs="Arial"/>
          <w:sz w:val="22"/>
        </w:rPr>
        <w:t>consumed</w:t>
      </w:r>
      <w:r w:rsidR="00DB4EA5">
        <w:rPr>
          <w:rFonts w:ascii="Arial" w:hAnsi="Arial" w:cs="Arial"/>
          <w:sz w:val="22"/>
        </w:rPr>
        <w:t xml:space="preserve"> by Australians</w:t>
      </w:r>
      <w:r w:rsidR="00867A48" w:rsidRPr="00FD51EC">
        <w:rPr>
          <w:rFonts w:ascii="Arial" w:hAnsi="Arial" w:cs="Arial"/>
          <w:sz w:val="22"/>
        </w:rPr>
        <w:t>.</w:t>
      </w:r>
    </w:p>
    <w:p w14:paraId="5D73483F" w14:textId="77777777" w:rsidR="00AA679B" w:rsidRPr="00FD51EC" w:rsidRDefault="00AA679B" w:rsidP="00CC5193">
      <w:pPr>
        <w:rPr>
          <w:rFonts w:ascii="Arial" w:hAnsi="Arial" w:cs="Arial"/>
          <w:sz w:val="22"/>
        </w:rPr>
      </w:pPr>
      <w:r w:rsidRPr="00FD51EC">
        <w:rPr>
          <w:rFonts w:ascii="Arial" w:hAnsi="Arial" w:cs="Arial"/>
          <w:sz w:val="22"/>
        </w:rPr>
        <w:t xml:space="preserve">FSANZ developed </w:t>
      </w:r>
      <w:r w:rsidR="00B9136D">
        <w:rPr>
          <w:rFonts w:ascii="Arial" w:hAnsi="Arial" w:cs="Arial"/>
          <w:sz w:val="22"/>
        </w:rPr>
        <w:t xml:space="preserve">and provided </w:t>
      </w:r>
      <w:r w:rsidRPr="00FD51EC">
        <w:rPr>
          <w:rFonts w:ascii="Arial" w:hAnsi="Arial" w:cs="Arial"/>
          <w:sz w:val="22"/>
        </w:rPr>
        <w:t xml:space="preserve">specific sampling plans for the purchase of the bread types required. The sampling plan and protocol provided details of where the samples were to be </w:t>
      </w:r>
      <w:r w:rsidRPr="00FD51EC">
        <w:rPr>
          <w:rFonts w:ascii="Arial" w:hAnsi="Arial" w:cs="Arial"/>
          <w:sz w:val="22"/>
        </w:rPr>
        <w:lastRenderedPageBreak/>
        <w:t xml:space="preserve">purchased, </w:t>
      </w:r>
      <w:r w:rsidR="005418D2">
        <w:rPr>
          <w:rFonts w:ascii="Arial" w:hAnsi="Arial" w:cs="Arial"/>
          <w:sz w:val="22"/>
        </w:rPr>
        <w:t xml:space="preserve">how many of each </w:t>
      </w:r>
      <w:r w:rsidR="002A6E8D">
        <w:rPr>
          <w:rFonts w:ascii="Arial" w:hAnsi="Arial" w:cs="Arial"/>
          <w:sz w:val="22"/>
        </w:rPr>
        <w:t xml:space="preserve">bread </w:t>
      </w:r>
      <w:r w:rsidR="005418D2">
        <w:rPr>
          <w:rFonts w:ascii="Arial" w:hAnsi="Arial" w:cs="Arial"/>
          <w:sz w:val="22"/>
        </w:rPr>
        <w:t>type</w:t>
      </w:r>
      <w:r w:rsidR="00B9136D">
        <w:rPr>
          <w:rFonts w:ascii="Arial" w:hAnsi="Arial" w:cs="Arial"/>
          <w:sz w:val="22"/>
        </w:rPr>
        <w:t xml:space="preserve"> was to be bought</w:t>
      </w:r>
      <w:r w:rsidR="005418D2">
        <w:rPr>
          <w:rFonts w:ascii="Arial" w:hAnsi="Arial" w:cs="Arial"/>
          <w:sz w:val="22"/>
        </w:rPr>
        <w:t xml:space="preserve"> </w:t>
      </w:r>
      <w:r w:rsidRPr="00FD51EC">
        <w:rPr>
          <w:rFonts w:ascii="Arial" w:hAnsi="Arial" w:cs="Arial"/>
          <w:sz w:val="22"/>
        </w:rPr>
        <w:t xml:space="preserve">and </w:t>
      </w:r>
      <w:r w:rsidR="005418D2">
        <w:rPr>
          <w:rFonts w:ascii="Arial" w:hAnsi="Arial" w:cs="Arial"/>
          <w:sz w:val="22"/>
        </w:rPr>
        <w:t>how they were to be packaged</w:t>
      </w:r>
      <w:r w:rsidRPr="00FD51EC">
        <w:rPr>
          <w:rFonts w:ascii="Arial" w:hAnsi="Arial" w:cs="Arial"/>
          <w:sz w:val="22"/>
        </w:rPr>
        <w:t xml:space="preserve"> for transportation to the laboratory. A template was provided for recording the details required for each </w:t>
      </w:r>
      <w:r w:rsidR="002A6E8D">
        <w:rPr>
          <w:rFonts w:ascii="Arial" w:hAnsi="Arial" w:cs="Arial"/>
          <w:sz w:val="22"/>
        </w:rPr>
        <w:t xml:space="preserve">bread </w:t>
      </w:r>
      <w:r w:rsidRPr="00FD51EC">
        <w:rPr>
          <w:rFonts w:ascii="Arial" w:hAnsi="Arial" w:cs="Arial"/>
          <w:sz w:val="22"/>
        </w:rPr>
        <w:t>sample purchased.</w:t>
      </w:r>
    </w:p>
    <w:p w14:paraId="5D734840" w14:textId="77777777" w:rsidR="00F8248D" w:rsidRPr="00FD51EC" w:rsidRDefault="00AA679B" w:rsidP="00622A8C">
      <w:pPr>
        <w:spacing w:line="240" w:lineRule="auto"/>
        <w:rPr>
          <w:rFonts w:ascii="Arial" w:eastAsia="Times New Roman" w:hAnsi="Arial" w:cs="Arial"/>
          <w:sz w:val="22"/>
        </w:rPr>
      </w:pPr>
      <w:r w:rsidRPr="00FD51EC">
        <w:rPr>
          <w:rFonts w:ascii="Arial" w:hAnsi="Arial" w:cs="Arial"/>
          <w:sz w:val="22"/>
        </w:rPr>
        <w:t xml:space="preserve">Each jurisdiction was provided with their specific sampling plan and the full sampling plan was provided to </w:t>
      </w:r>
      <w:r w:rsidR="00670403">
        <w:rPr>
          <w:rFonts w:ascii="Arial" w:hAnsi="Arial" w:cs="Arial"/>
          <w:sz w:val="22"/>
        </w:rPr>
        <w:t>NMI</w:t>
      </w:r>
      <w:r w:rsidRPr="00FD51EC">
        <w:rPr>
          <w:rFonts w:ascii="Arial" w:hAnsi="Arial" w:cs="Arial"/>
          <w:sz w:val="22"/>
        </w:rPr>
        <w:t xml:space="preserve">, the contracted </w:t>
      </w:r>
      <w:r w:rsidR="00A4104B">
        <w:rPr>
          <w:rFonts w:ascii="Arial" w:hAnsi="Arial" w:cs="Arial"/>
          <w:sz w:val="22"/>
        </w:rPr>
        <w:t xml:space="preserve">food </w:t>
      </w:r>
      <w:r w:rsidRPr="00FD51EC">
        <w:rPr>
          <w:rFonts w:ascii="Arial" w:hAnsi="Arial" w:cs="Arial"/>
          <w:sz w:val="22"/>
        </w:rPr>
        <w:t xml:space="preserve">analytical laboratory. The sampling plan ensured </w:t>
      </w:r>
      <w:r w:rsidR="00F8248D" w:rsidRPr="00FD51EC">
        <w:rPr>
          <w:rFonts w:ascii="Arial" w:hAnsi="Arial" w:cs="Arial"/>
          <w:sz w:val="22"/>
        </w:rPr>
        <w:t xml:space="preserve">that </w:t>
      </w:r>
      <w:r w:rsidRPr="00FD51EC">
        <w:rPr>
          <w:rFonts w:ascii="Arial" w:hAnsi="Arial" w:cs="Arial"/>
          <w:sz w:val="22"/>
        </w:rPr>
        <w:t>the purchase of samples reflected the market share of the bread types consumed</w:t>
      </w:r>
      <w:r w:rsidR="00F8248D" w:rsidRPr="00FD51EC">
        <w:rPr>
          <w:rFonts w:ascii="Arial" w:hAnsi="Arial" w:cs="Arial"/>
          <w:sz w:val="22"/>
        </w:rPr>
        <w:t>,</w:t>
      </w:r>
      <w:r w:rsidRPr="00FD51EC">
        <w:rPr>
          <w:rFonts w:ascii="Arial" w:hAnsi="Arial" w:cs="Arial"/>
          <w:sz w:val="22"/>
        </w:rPr>
        <w:t xml:space="preserve"> and adequate samples were purchased from big commercial industry bakeries, supermarket chain bakeries and small-scale local bread shops. </w:t>
      </w:r>
      <w:r w:rsidR="00F8248D" w:rsidRPr="00FD51EC">
        <w:rPr>
          <w:rFonts w:ascii="Arial" w:eastAsia="Times New Roman" w:hAnsi="Arial" w:cs="Arial"/>
          <w:sz w:val="22"/>
        </w:rPr>
        <w:t xml:space="preserve">The </w:t>
      </w:r>
      <w:r w:rsidR="00A4104B">
        <w:rPr>
          <w:rFonts w:ascii="Arial" w:eastAsia="Times New Roman" w:hAnsi="Arial" w:cs="Arial"/>
          <w:sz w:val="22"/>
        </w:rPr>
        <w:t xml:space="preserve">description of </w:t>
      </w:r>
      <w:r w:rsidR="00A4104B" w:rsidRPr="00FD51EC">
        <w:rPr>
          <w:rFonts w:ascii="Arial" w:eastAsia="Times New Roman" w:hAnsi="Arial" w:cs="Arial"/>
          <w:sz w:val="22"/>
        </w:rPr>
        <w:t xml:space="preserve">retail outlets </w:t>
      </w:r>
      <w:r w:rsidR="00A4104B">
        <w:rPr>
          <w:rFonts w:ascii="Arial" w:eastAsia="Times New Roman" w:hAnsi="Arial" w:cs="Arial"/>
          <w:sz w:val="22"/>
        </w:rPr>
        <w:t xml:space="preserve">in the </w:t>
      </w:r>
      <w:r w:rsidR="00EA4F8A">
        <w:rPr>
          <w:rFonts w:ascii="Arial" w:eastAsia="Times New Roman" w:hAnsi="Arial" w:cs="Arial"/>
          <w:sz w:val="22"/>
        </w:rPr>
        <w:t xml:space="preserve">different </w:t>
      </w:r>
      <w:r w:rsidR="00A4104B">
        <w:rPr>
          <w:rFonts w:ascii="Arial" w:eastAsia="Times New Roman" w:hAnsi="Arial" w:cs="Arial"/>
          <w:sz w:val="22"/>
        </w:rPr>
        <w:t>b</w:t>
      </w:r>
      <w:r w:rsidR="006B7EB6">
        <w:rPr>
          <w:rFonts w:ascii="Arial" w:eastAsia="Times New Roman" w:hAnsi="Arial" w:cs="Arial"/>
          <w:sz w:val="22"/>
        </w:rPr>
        <w:t>akery categories</w:t>
      </w:r>
      <w:r w:rsidR="00A4104B">
        <w:rPr>
          <w:rFonts w:ascii="Arial" w:eastAsia="Times New Roman" w:hAnsi="Arial" w:cs="Arial"/>
          <w:sz w:val="22"/>
        </w:rPr>
        <w:t xml:space="preserve"> used </w:t>
      </w:r>
      <w:r w:rsidR="00BE7CCD">
        <w:rPr>
          <w:rFonts w:ascii="Arial" w:eastAsia="Times New Roman" w:hAnsi="Arial" w:cs="Arial"/>
          <w:sz w:val="22"/>
        </w:rPr>
        <w:t>is</w:t>
      </w:r>
      <w:r w:rsidR="00F8248D" w:rsidRPr="00FD51EC">
        <w:rPr>
          <w:rFonts w:ascii="Arial" w:eastAsia="Times New Roman" w:hAnsi="Arial" w:cs="Arial"/>
          <w:sz w:val="22"/>
        </w:rPr>
        <w:t>:</w:t>
      </w:r>
    </w:p>
    <w:p w14:paraId="5D734841" w14:textId="77777777" w:rsidR="00F8248D" w:rsidRPr="00FD51EC" w:rsidRDefault="00F8248D" w:rsidP="00F8527C">
      <w:pPr>
        <w:pStyle w:val="ListParagraph"/>
        <w:numPr>
          <w:ilvl w:val="0"/>
          <w:numId w:val="17"/>
        </w:numPr>
        <w:tabs>
          <w:tab w:val="clear" w:pos="567"/>
        </w:tabs>
        <w:ind w:left="630" w:hanging="630"/>
        <w:contextualSpacing w:val="0"/>
        <w:rPr>
          <w:rFonts w:ascii="Arial" w:eastAsia="Times New Roman" w:hAnsi="Arial" w:cs="Arial"/>
          <w:sz w:val="22"/>
        </w:rPr>
      </w:pPr>
      <w:r w:rsidRPr="00FD51EC">
        <w:rPr>
          <w:rFonts w:ascii="Arial" w:eastAsia="Times New Roman" w:hAnsi="Arial" w:cs="Arial"/>
          <w:sz w:val="22"/>
        </w:rPr>
        <w:t>Supermarket bakeries</w:t>
      </w:r>
      <w:r w:rsidR="00EA4F8A">
        <w:rPr>
          <w:rFonts w:ascii="Arial" w:eastAsia="Times New Roman" w:hAnsi="Arial" w:cs="Arial"/>
          <w:sz w:val="22"/>
        </w:rPr>
        <w:t xml:space="preserve"> - </w:t>
      </w:r>
      <w:r w:rsidRPr="00FD51EC">
        <w:rPr>
          <w:rFonts w:ascii="Arial" w:eastAsia="Times New Roman" w:hAnsi="Arial" w:cs="Arial"/>
          <w:sz w:val="22"/>
        </w:rPr>
        <w:t xml:space="preserve">include bakeries owned by supermarket shops such as Woolworths, Coles, </w:t>
      </w:r>
      <w:proofErr w:type="spellStart"/>
      <w:r w:rsidRPr="00FD51EC">
        <w:rPr>
          <w:rFonts w:ascii="Arial" w:eastAsia="Times New Roman" w:hAnsi="Arial" w:cs="Arial"/>
          <w:sz w:val="22"/>
        </w:rPr>
        <w:t>Supabarn</w:t>
      </w:r>
      <w:proofErr w:type="spellEnd"/>
      <w:r w:rsidRPr="00FD51EC">
        <w:rPr>
          <w:rFonts w:ascii="Arial" w:eastAsia="Times New Roman" w:hAnsi="Arial" w:cs="Arial"/>
          <w:sz w:val="22"/>
        </w:rPr>
        <w:t xml:space="preserve"> and Aldi.</w:t>
      </w:r>
    </w:p>
    <w:p w14:paraId="5D734842" w14:textId="77777777" w:rsidR="00F8248D" w:rsidRPr="00FD51EC" w:rsidRDefault="00F8248D" w:rsidP="00F8527C">
      <w:pPr>
        <w:pStyle w:val="ListParagraph"/>
        <w:numPr>
          <w:ilvl w:val="0"/>
          <w:numId w:val="17"/>
        </w:numPr>
        <w:tabs>
          <w:tab w:val="clear" w:pos="567"/>
        </w:tabs>
        <w:ind w:left="630" w:hanging="630"/>
        <w:contextualSpacing w:val="0"/>
        <w:rPr>
          <w:rFonts w:ascii="Arial" w:eastAsia="Times New Roman" w:hAnsi="Arial" w:cs="Arial"/>
          <w:sz w:val="22"/>
        </w:rPr>
      </w:pPr>
      <w:r w:rsidRPr="00FD51EC">
        <w:rPr>
          <w:rFonts w:ascii="Arial" w:eastAsia="Times New Roman" w:hAnsi="Arial" w:cs="Arial"/>
          <w:sz w:val="22"/>
        </w:rPr>
        <w:t>Local small-scale bakeries</w:t>
      </w:r>
      <w:r w:rsidR="00EA4F8A">
        <w:rPr>
          <w:rFonts w:ascii="Arial" w:eastAsia="Times New Roman" w:hAnsi="Arial" w:cs="Arial"/>
          <w:sz w:val="22"/>
        </w:rPr>
        <w:t xml:space="preserve"> -</w:t>
      </w:r>
      <w:r w:rsidRPr="00FD51EC">
        <w:rPr>
          <w:rFonts w:ascii="Arial" w:eastAsia="Times New Roman" w:hAnsi="Arial" w:cs="Arial"/>
          <w:sz w:val="22"/>
        </w:rPr>
        <w:t xml:space="preserve"> include hot bread shops and pastry shops.</w:t>
      </w:r>
    </w:p>
    <w:p w14:paraId="5D734843" w14:textId="77777777" w:rsidR="00825CC0" w:rsidRDefault="00F8248D" w:rsidP="00F8527C">
      <w:pPr>
        <w:pStyle w:val="ListParagraph"/>
        <w:numPr>
          <w:ilvl w:val="0"/>
          <w:numId w:val="17"/>
        </w:numPr>
        <w:tabs>
          <w:tab w:val="clear" w:pos="567"/>
        </w:tabs>
        <w:ind w:left="630" w:hanging="630"/>
        <w:contextualSpacing w:val="0"/>
        <w:rPr>
          <w:rFonts w:ascii="Arial" w:eastAsia="Times New Roman" w:hAnsi="Arial" w:cs="Arial"/>
          <w:sz w:val="22"/>
        </w:rPr>
      </w:pPr>
      <w:r w:rsidRPr="00FD51EC">
        <w:rPr>
          <w:rFonts w:ascii="Arial" w:eastAsia="Times New Roman" w:hAnsi="Arial" w:cs="Arial"/>
          <w:sz w:val="22"/>
        </w:rPr>
        <w:t>Industry bakeries</w:t>
      </w:r>
      <w:r w:rsidR="00EA4F8A">
        <w:rPr>
          <w:rFonts w:ascii="Arial" w:eastAsia="Times New Roman" w:hAnsi="Arial" w:cs="Arial"/>
          <w:sz w:val="22"/>
        </w:rPr>
        <w:t xml:space="preserve"> - </w:t>
      </w:r>
      <w:r w:rsidRPr="00FD51EC">
        <w:rPr>
          <w:rFonts w:ascii="Arial" w:eastAsia="Times New Roman" w:hAnsi="Arial" w:cs="Arial"/>
          <w:sz w:val="22"/>
        </w:rPr>
        <w:t>include George Weston Foods and Goodman Fielder, the two major ones in the country that account for brands such as Tip Top, Helga</w:t>
      </w:r>
      <w:r w:rsidR="00252388">
        <w:rPr>
          <w:rFonts w:ascii="Arial" w:eastAsia="Times New Roman" w:hAnsi="Arial" w:cs="Arial"/>
          <w:sz w:val="22"/>
        </w:rPr>
        <w:t>’</w:t>
      </w:r>
      <w:r w:rsidRPr="00FD51EC">
        <w:rPr>
          <w:rFonts w:ascii="Arial" w:eastAsia="Times New Roman" w:hAnsi="Arial" w:cs="Arial"/>
          <w:sz w:val="22"/>
        </w:rPr>
        <w:t xml:space="preserve">s, </w:t>
      </w:r>
      <w:proofErr w:type="spellStart"/>
      <w:r w:rsidRPr="00FD51EC">
        <w:rPr>
          <w:rFonts w:ascii="Arial" w:eastAsia="Times New Roman" w:hAnsi="Arial" w:cs="Arial"/>
          <w:sz w:val="22"/>
        </w:rPr>
        <w:t>Burgen</w:t>
      </w:r>
      <w:proofErr w:type="spellEnd"/>
      <w:r w:rsidRPr="00FD51EC">
        <w:rPr>
          <w:rFonts w:ascii="Arial" w:eastAsia="Times New Roman" w:hAnsi="Arial" w:cs="Arial"/>
          <w:sz w:val="22"/>
        </w:rPr>
        <w:t>, Wonder White and Buttercup</w:t>
      </w:r>
      <w:r w:rsidR="007A6F55">
        <w:rPr>
          <w:rFonts w:ascii="Arial" w:eastAsia="Times New Roman" w:hAnsi="Arial" w:cs="Arial"/>
          <w:sz w:val="22"/>
        </w:rPr>
        <w:t xml:space="preserve"> and franchise bakeries</w:t>
      </w:r>
      <w:r w:rsidRPr="00FD51EC">
        <w:rPr>
          <w:rFonts w:ascii="Arial" w:eastAsia="Times New Roman" w:hAnsi="Arial" w:cs="Arial"/>
          <w:sz w:val="22"/>
        </w:rPr>
        <w:t>.</w:t>
      </w:r>
    </w:p>
    <w:p w14:paraId="5D734844" w14:textId="77777777" w:rsidR="00132F37" w:rsidRPr="00132F37" w:rsidRDefault="00132F37" w:rsidP="00132F37">
      <w:pPr>
        <w:rPr>
          <w:rFonts w:ascii="Arial" w:eastAsia="Times New Roman" w:hAnsi="Arial" w:cs="Arial"/>
          <w:sz w:val="22"/>
        </w:rPr>
      </w:pPr>
      <w:r w:rsidRPr="00132F37">
        <w:rPr>
          <w:rFonts w:ascii="Arial" w:hAnsi="Arial" w:cs="Arial"/>
          <w:sz w:val="22"/>
        </w:rPr>
        <w:t>Details of the samples purchased from the different retail outlets for th</w:t>
      </w:r>
      <w:r>
        <w:rPr>
          <w:rFonts w:ascii="Arial" w:hAnsi="Arial" w:cs="Arial"/>
          <w:sz w:val="22"/>
        </w:rPr>
        <w:t>e</w:t>
      </w:r>
      <w:r w:rsidRPr="00132F37">
        <w:rPr>
          <w:rFonts w:ascii="Arial" w:hAnsi="Arial" w:cs="Arial"/>
          <w:sz w:val="22"/>
        </w:rPr>
        <w:t xml:space="preserve"> survey</w:t>
      </w:r>
      <w:r>
        <w:rPr>
          <w:rFonts w:ascii="Arial" w:hAnsi="Arial" w:cs="Arial"/>
          <w:sz w:val="22"/>
        </w:rPr>
        <w:t>s and</w:t>
      </w:r>
      <w:r w:rsidRPr="00132F37">
        <w:rPr>
          <w:rFonts w:ascii="Arial" w:hAnsi="Arial" w:cs="Arial"/>
          <w:sz w:val="22"/>
        </w:rPr>
        <w:t xml:space="preserve"> an example of the sampling plan is provided in Appendix 1</w:t>
      </w:r>
      <w:r>
        <w:rPr>
          <w:rFonts w:ascii="Arial" w:hAnsi="Arial" w:cs="Arial"/>
          <w:sz w:val="22"/>
        </w:rPr>
        <w:t>.</w:t>
      </w:r>
    </w:p>
    <w:p w14:paraId="5D734845" w14:textId="77777777" w:rsidR="0002000B" w:rsidRPr="0002000B" w:rsidRDefault="008F3AA1" w:rsidP="00622A8C">
      <w:pPr>
        <w:pStyle w:val="Heading3"/>
      </w:pPr>
      <w:bookmarkStart w:id="8" w:name="_Toc430854497"/>
      <w:r w:rsidRPr="00FD51EC">
        <w:t>3.1.2</w:t>
      </w:r>
      <w:r w:rsidRPr="00FD51EC">
        <w:tab/>
      </w:r>
      <w:r w:rsidR="001A3111" w:rsidRPr="00FD51EC">
        <w:t>Phase 1 sampling</w:t>
      </w:r>
      <w:bookmarkEnd w:id="8"/>
    </w:p>
    <w:p w14:paraId="5D734846" w14:textId="77777777" w:rsidR="001B59FB" w:rsidRPr="00FD51EC" w:rsidRDefault="00336C12" w:rsidP="00CC5193">
      <w:pPr>
        <w:rPr>
          <w:rFonts w:ascii="Arial" w:hAnsi="Arial" w:cs="Arial"/>
          <w:sz w:val="22"/>
        </w:rPr>
      </w:pPr>
      <w:r w:rsidRPr="00FD51EC">
        <w:rPr>
          <w:rFonts w:ascii="Arial" w:hAnsi="Arial" w:cs="Arial"/>
          <w:sz w:val="22"/>
        </w:rPr>
        <w:t xml:space="preserve">A total of </w:t>
      </w:r>
      <w:r w:rsidRPr="00E7707B">
        <w:rPr>
          <w:rFonts w:ascii="Arial" w:hAnsi="Arial" w:cs="Arial"/>
          <w:color w:val="000000" w:themeColor="text1"/>
          <w:sz w:val="22"/>
        </w:rPr>
        <w:t>100 samples</w:t>
      </w:r>
      <w:r w:rsidR="00CA55F6" w:rsidRPr="00E7707B">
        <w:rPr>
          <w:rFonts w:ascii="Arial" w:hAnsi="Arial" w:cs="Arial"/>
          <w:color w:val="000000" w:themeColor="text1"/>
          <w:sz w:val="22"/>
        </w:rPr>
        <w:t xml:space="preserve"> </w:t>
      </w:r>
      <w:r w:rsidRPr="00FD51EC">
        <w:rPr>
          <w:rFonts w:ascii="Arial" w:hAnsi="Arial" w:cs="Arial"/>
          <w:sz w:val="22"/>
        </w:rPr>
        <w:t xml:space="preserve">of </w:t>
      </w:r>
      <w:r w:rsidR="005C6281">
        <w:rPr>
          <w:rFonts w:ascii="Arial" w:hAnsi="Arial" w:cs="Arial"/>
          <w:sz w:val="22"/>
        </w:rPr>
        <w:t>bread</w:t>
      </w:r>
      <w:r w:rsidRPr="00FD51EC">
        <w:rPr>
          <w:rFonts w:ascii="Arial" w:hAnsi="Arial" w:cs="Arial"/>
          <w:sz w:val="22"/>
        </w:rPr>
        <w:t xml:space="preserve"> from seven bread </w:t>
      </w:r>
      <w:r w:rsidR="00866558">
        <w:rPr>
          <w:rFonts w:ascii="Arial" w:hAnsi="Arial" w:cs="Arial"/>
          <w:sz w:val="22"/>
        </w:rPr>
        <w:t>types</w:t>
      </w:r>
      <w:r w:rsidRPr="00FD51EC">
        <w:rPr>
          <w:rFonts w:ascii="Arial" w:hAnsi="Arial" w:cs="Arial"/>
          <w:sz w:val="22"/>
        </w:rPr>
        <w:t xml:space="preserve"> were purchased </w:t>
      </w:r>
      <w:r w:rsidR="001B59FB" w:rsidRPr="00FD51EC">
        <w:rPr>
          <w:rFonts w:ascii="Arial" w:hAnsi="Arial" w:cs="Arial"/>
          <w:sz w:val="22"/>
        </w:rPr>
        <w:t xml:space="preserve">from major supermarkets and small bread shops in the capital cities of the eight states and territories. </w:t>
      </w:r>
      <w:r w:rsidR="001A3111" w:rsidRPr="00FD51EC">
        <w:rPr>
          <w:rFonts w:ascii="Arial" w:hAnsi="Arial" w:cs="Arial"/>
          <w:sz w:val="22"/>
        </w:rPr>
        <w:t xml:space="preserve">The first </w:t>
      </w:r>
      <w:r w:rsidR="001B59FB" w:rsidRPr="00FD51EC">
        <w:rPr>
          <w:rFonts w:ascii="Arial" w:hAnsi="Arial" w:cs="Arial"/>
          <w:sz w:val="22"/>
        </w:rPr>
        <w:t xml:space="preserve">bread </w:t>
      </w:r>
      <w:r w:rsidR="001A3111" w:rsidRPr="00FD51EC">
        <w:rPr>
          <w:rFonts w:ascii="Arial" w:hAnsi="Arial" w:cs="Arial"/>
          <w:sz w:val="22"/>
        </w:rPr>
        <w:t xml:space="preserve">survey (phase 1) was undertaken in June and July </w:t>
      </w:r>
      <w:r w:rsidR="001B59FB" w:rsidRPr="00FD51EC">
        <w:rPr>
          <w:rFonts w:ascii="Arial" w:hAnsi="Arial" w:cs="Arial"/>
          <w:sz w:val="22"/>
        </w:rPr>
        <w:t xml:space="preserve">of </w:t>
      </w:r>
      <w:r w:rsidR="000E0B67">
        <w:rPr>
          <w:rFonts w:ascii="Arial" w:hAnsi="Arial" w:cs="Arial"/>
          <w:sz w:val="22"/>
        </w:rPr>
        <w:t>2010</w:t>
      </w:r>
      <w:r w:rsidR="001A3111" w:rsidRPr="00FD51EC">
        <w:rPr>
          <w:rFonts w:ascii="Arial" w:hAnsi="Arial" w:cs="Arial"/>
          <w:sz w:val="22"/>
        </w:rPr>
        <w:t xml:space="preserve">. </w:t>
      </w:r>
      <w:r w:rsidR="001B59FB" w:rsidRPr="00FD51EC">
        <w:rPr>
          <w:rFonts w:ascii="Arial" w:hAnsi="Arial" w:cs="Arial"/>
          <w:sz w:val="22"/>
        </w:rPr>
        <w:t>Although the focus was on the three main bread types consumed by Australians</w:t>
      </w:r>
      <w:r w:rsidR="000728F9" w:rsidRPr="00FD51EC">
        <w:rPr>
          <w:rFonts w:ascii="Arial" w:hAnsi="Arial" w:cs="Arial"/>
          <w:sz w:val="22"/>
        </w:rPr>
        <w:t xml:space="preserve"> (</w:t>
      </w:r>
      <w:r w:rsidR="00670403">
        <w:rPr>
          <w:rFonts w:ascii="Arial" w:hAnsi="Arial" w:cs="Arial"/>
          <w:sz w:val="22"/>
        </w:rPr>
        <w:t>w</w:t>
      </w:r>
      <w:r w:rsidR="00670403" w:rsidRPr="00FD51EC">
        <w:rPr>
          <w:rFonts w:ascii="Arial" w:hAnsi="Arial" w:cs="Arial"/>
          <w:sz w:val="22"/>
        </w:rPr>
        <w:t>hite</w:t>
      </w:r>
      <w:r w:rsidR="000728F9" w:rsidRPr="00FD51EC">
        <w:rPr>
          <w:rFonts w:ascii="Arial" w:hAnsi="Arial" w:cs="Arial"/>
          <w:sz w:val="22"/>
        </w:rPr>
        <w:t xml:space="preserve">, </w:t>
      </w:r>
      <w:r w:rsidR="00670403">
        <w:rPr>
          <w:rFonts w:ascii="Arial" w:hAnsi="Arial" w:cs="Arial"/>
          <w:sz w:val="22"/>
        </w:rPr>
        <w:t>w</w:t>
      </w:r>
      <w:r w:rsidR="00670403" w:rsidRPr="00FD51EC">
        <w:rPr>
          <w:rFonts w:ascii="Arial" w:hAnsi="Arial" w:cs="Arial"/>
          <w:sz w:val="22"/>
        </w:rPr>
        <w:t xml:space="preserve">holemeal </w:t>
      </w:r>
      <w:r w:rsidR="000728F9" w:rsidRPr="00FD51EC">
        <w:rPr>
          <w:rFonts w:ascii="Arial" w:hAnsi="Arial" w:cs="Arial"/>
          <w:sz w:val="22"/>
        </w:rPr>
        <w:t xml:space="preserve">and </w:t>
      </w:r>
      <w:r w:rsidR="00670403">
        <w:rPr>
          <w:rFonts w:ascii="Arial" w:hAnsi="Arial" w:cs="Arial"/>
          <w:sz w:val="22"/>
        </w:rPr>
        <w:t>m</w:t>
      </w:r>
      <w:r w:rsidR="00670403" w:rsidRPr="00FD51EC">
        <w:rPr>
          <w:rFonts w:ascii="Arial" w:hAnsi="Arial" w:cs="Arial"/>
          <w:sz w:val="22"/>
        </w:rPr>
        <w:t>ultigrain</w:t>
      </w:r>
      <w:r w:rsidR="000728F9" w:rsidRPr="00FD51EC">
        <w:rPr>
          <w:rFonts w:ascii="Arial" w:hAnsi="Arial" w:cs="Arial"/>
          <w:sz w:val="22"/>
        </w:rPr>
        <w:t>)</w:t>
      </w:r>
      <w:r w:rsidR="001B59FB" w:rsidRPr="00FD51EC">
        <w:rPr>
          <w:rFonts w:ascii="Arial" w:hAnsi="Arial" w:cs="Arial"/>
          <w:sz w:val="22"/>
        </w:rPr>
        <w:t xml:space="preserve">, </w:t>
      </w:r>
      <w:r w:rsidR="005C6281">
        <w:rPr>
          <w:rFonts w:ascii="Arial" w:hAnsi="Arial" w:cs="Arial"/>
          <w:sz w:val="22"/>
        </w:rPr>
        <w:t>since this was</w:t>
      </w:r>
      <w:r w:rsidR="001B59FB" w:rsidRPr="00FD51EC">
        <w:rPr>
          <w:rFonts w:ascii="Arial" w:hAnsi="Arial" w:cs="Arial"/>
          <w:sz w:val="22"/>
        </w:rPr>
        <w:t xml:space="preserve"> the very first survey, a small number of other </w:t>
      </w:r>
      <w:r w:rsidR="00DC062B">
        <w:rPr>
          <w:rFonts w:ascii="Arial" w:hAnsi="Arial" w:cs="Arial"/>
          <w:sz w:val="22"/>
        </w:rPr>
        <w:t xml:space="preserve">sandwich </w:t>
      </w:r>
      <w:r w:rsidR="001B59FB" w:rsidRPr="00FD51EC">
        <w:rPr>
          <w:rFonts w:ascii="Arial" w:hAnsi="Arial" w:cs="Arial"/>
          <w:sz w:val="22"/>
        </w:rPr>
        <w:t>bread types were sample</w:t>
      </w:r>
      <w:r w:rsidR="000728F9" w:rsidRPr="00FD51EC">
        <w:rPr>
          <w:rFonts w:ascii="Arial" w:hAnsi="Arial" w:cs="Arial"/>
          <w:sz w:val="22"/>
        </w:rPr>
        <w:t>d</w:t>
      </w:r>
      <w:r w:rsidR="001B59FB" w:rsidRPr="00FD51EC">
        <w:rPr>
          <w:rFonts w:ascii="Arial" w:hAnsi="Arial" w:cs="Arial"/>
          <w:sz w:val="22"/>
        </w:rPr>
        <w:t xml:space="preserve"> to </w:t>
      </w:r>
      <w:r w:rsidR="000728F9" w:rsidRPr="00FD51EC">
        <w:rPr>
          <w:rFonts w:ascii="Arial" w:hAnsi="Arial" w:cs="Arial"/>
          <w:sz w:val="22"/>
        </w:rPr>
        <w:t xml:space="preserve">assess </w:t>
      </w:r>
      <w:r w:rsidR="001B59FB" w:rsidRPr="00FD51EC">
        <w:rPr>
          <w:rFonts w:ascii="Arial" w:hAnsi="Arial" w:cs="Arial"/>
          <w:sz w:val="22"/>
        </w:rPr>
        <w:t xml:space="preserve">the amounts of </w:t>
      </w:r>
      <w:r w:rsidR="000728F9" w:rsidRPr="00FD51EC">
        <w:rPr>
          <w:rFonts w:ascii="Arial" w:hAnsi="Arial" w:cs="Arial"/>
          <w:sz w:val="22"/>
        </w:rPr>
        <w:t>iodine</w:t>
      </w:r>
      <w:r w:rsidR="001B59FB" w:rsidRPr="00FD51EC">
        <w:rPr>
          <w:rFonts w:ascii="Arial" w:hAnsi="Arial" w:cs="Arial"/>
          <w:sz w:val="22"/>
        </w:rPr>
        <w:t xml:space="preserve"> they contain</w:t>
      </w:r>
      <w:r w:rsidR="00725614" w:rsidRPr="00FD51EC">
        <w:rPr>
          <w:rFonts w:ascii="Arial" w:hAnsi="Arial" w:cs="Arial"/>
          <w:sz w:val="22"/>
        </w:rPr>
        <w:t>ed</w:t>
      </w:r>
      <w:r w:rsidR="001B59FB" w:rsidRPr="00FD51EC">
        <w:rPr>
          <w:rFonts w:ascii="Arial" w:hAnsi="Arial" w:cs="Arial"/>
          <w:sz w:val="22"/>
        </w:rPr>
        <w:t>.</w:t>
      </w:r>
    </w:p>
    <w:p w14:paraId="5D734847" w14:textId="77777777" w:rsidR="001A3111" w:rsidRPr="00FD51EC" w:rsidRDefault="001A3111" w:rsidP="00CC5193">
      <w:pPr>
        <w:rPr>
          <w:rFonts w:ascii="Arial" w:hAnsi="Arial" w:cs="Arial"/>
          <w:sz w:val="22"/>
        </w:rPr>
      </w:pPr>
      <w:r w:rsidRPr="00FD51EC">
        <w:rPr>
          <w:rFonts w:ascii="Arial" w:hAnsi="Arial" w:cs="Arial"/>
          <w:sz w:val="22"/>
        </w:rPr>
        <w:t xml:space="preserve">The bread </w:t>
      </w:r>
      <w:r w:rsidR="00866558">
        <w:rPr>
          <w:rFonts w:ascii="Arial" w:hAnsi="Arial" w:cs="Arial"/>
          <w:sz w:val="22"/>
        </w:rPr>
        <w:t>types</w:t>
      </w:r>
      <w:r w:rsidRPr="00FD51EC">
        <w:rPr>
          <w:rFonts w:ascii="Arial" w:hAnsi="Arial" w:cs="Arial"/>
          <w:sz w:val="22"/>
        </w:rPr>
        <w:t xml:space="preserve"> sampled </w:t>
      </w:r>
      <w:r w:rsidR="00553276">
        <w:rPr>
          <w:rFonts w:ascii="Arial" w:hAnsi="Arial" w:cs="Arial"/>
          <w:sz w:val="22"/>
        </w:rPr>
        <w:t xml:space="preserve">in </w:t>
      </w:r>
      <w:r w:rsidR="00553276" w:rsidRPr="00FD51EC">
        <w:rPr>
          <w:rFonts w:ascii="Arial" w:hAnsi="Arial" w:cs="Arial"/>
          <w:sz w:val="22"/>
        </w:rPr>
        <w:t>phase 1</w:t>
      </w:r>
      <w:r w:rsidR="004608D0">
        <w:rPr>
          <w:rFonts w:ascii="Arial" w:hAnsi="Arial" w:cs="Arial"/>
          <w:sz w:val="22"/>
        </w:rPr>
        <w:t xml:space="preserve"> </w:t>
      </w:r>
      <w:r w:rsidRPr="00FD51EC">
        <w:rPr>
          <w:rFonts w:ascii="Arial" w:hAnsi="Arial" w:cs="Arial"/>
          <w:sz w:val="22"/>
        </w:rPr>
        <w:t>were:</w:t>
      </w:r>
    </w:p>
    <w:p w14:paraId="5D734848" w14:textId="77777777" w:rsidR="000C576F" w:rsidRDefault="001A3111"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0C576F">
        <w:rPr>
          <w:rFonts w:ascii="Arial" w:hAnsi="Arial" w:cs="Arial"/>
          <w:sz w:val="22"/>
        </w:rPr>
        <w:t>White bread</w:t>
      </w:r>
    </w:p>
    <w:p w14:paraId="5D734849" w14:textId="77777777" w:rsidR="001A3111" w:rsidRPr="000C576F" w:rsidRDefault="001A3111"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0C576F">
        <w:rPr>
          <w:rFonts w:ascii="Arial" w:hAnsi="Arial" w:cs="Arial"/>
          <w:sz w:val="22"/>
        </w:rPr>
        <w:t>Wholemeal bread</w:t>
      </w:r>
    </w:p>
    <w:p w14:paraId="5D73484A" w14:textId="77777777" w:rsidR="001A3111" w:rsidRPr="00FD51EC" w:rsidRDefault="001A3111"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FD51EC">
        <w:rPr>
          <w:rFonts w:ascii="Arial" w:hAnsi="Arial" w:cs="Arial"/>
          <w:sz w:val="22"/>
        </w:rPr>
        <w:t>Multigrain and seeds bread</w:t>
      </w:r>
    </w:p>
    <w:p w14:paraId="5D73484B" w14:textId="77777777" w:rsidR="001A3111" w:rsidRPr="00FD51EC" w:rsidRDefault="001A3111"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FD51EC">
        <w:rPr>
          <w:rFonts w:ascii="Arial" w:hAnsi="Arial" w:cs="Arial"/>
          <w:sz w:val="22"/>
        </w:rPr>
        <w:t>Flat breads i.e</w:t>
      </w:r>
      <w:r w:rsidR="00D43F2C">
        <w:rPr>
          <w:rFonts w:ascii="Arial" w:hAnsi="Arial" w:cs="Arial"/>
          <w:sz w:val="22"/>
        </w:rPr>
        <w:t>.</w:t>
      </w:r>
      <w:r w:rsidRPr="00FD51EC">
        <w:rPr>
          <w:rFonts w:ascii="Arial" w:hAnsi="Arial" w:cs="Arial"/>
          <w:sz w:val="22"/>
        </w:rPr>
        <w:t xml:space="preserve"> Wraps, Focaccia, Naan, and </w:t>
      </w:r>
      <w:proofErr w:type="spellStart"/>
      <w:r w:rsidRPr="00FD51EC">
        <w:rPr>
          <w:rFonts w:ascii="Arial" w:hAnsi="Arial" w:cs="Arial"/>
          <w:sz w:val="22"/>
        </w:rPr>
        <w:t>Lavash</w:t>
      </w:r>
      <w:proofErr w:type="spellEnd"/>
      <w:r w:rsidRPr="00FD51EC">
        <w:rPr>
          <w:rFonts w:ascii="Arial" w:hAnsi="Arial" w:cs="Arial"/>
          <w:sz w:val="22"/>
        </w:rPr>
        <w:t>.</w:t>
      </w:r>
    </w:p>
    <w:p w14:paraId="5D73484C" w14:textId="77777777" w:rsidR="001A3111" w:rsidRPr="00FD51EC" w:rsidRDefault="001A3111"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FD51EC">
        <w:rPr>
          <w:rFonts w:ascii="Arial" w:hAnsi="Arial" w:cs="Arial"/>
          <w:sz w:val="22"/>
        </w:rPr>
        <w:t>English Muffi</w:t>
      </w:r>
      <w:r w:rsidR="001B59FB" w:rsidRPr="00FD51EC">
        <w:rPr>
          <w:rFonts w:ascii="Arial" w:hAnsi="Arial" w:cs="Arial"/>
          <w:sz w:val="22"/>
        </w:rPr>
        <w:t>ns</w:t>
      </w:r>
    </w:p>
    <w:p w14:paraId="5D73484D" w14:textId="77777777" w:rsidR="001B59FB" w:rsidRPr="00FD51EC" w:rsidRDefault="001B59FB" w:rsidP="000C576F">
      <w:pPr>
        <w:pStyle w:val="ListParagraph"/>
        <w:numPr>
          <w:ilvl w:val="0"/>
          <w:numId w:val="16"/>
        </w:numPr>
        <w:tabs>
          <w:tab w:val="clear" w:pos="567"/>
        </w:tabs>
        <w:spacing w:line="240" w:lineRule="auto"/>
        <w:ind w:left="0" w:firstLine="0"/>
        <w:contextualSpacing w:val="0"/>
        <w:rPr>
          <w:rFonts w:ascii="Arial" w:hAnsi="Arial" w:cs="Arial"/>
          <w:sz w:val="22"/>
        </w:rPr>
      </w:pPr>
      <w:r w:rsidRPr="00FD51EC">
        <w:rPr>
          <w:rFonts w:ascii="Arial" w:hAnsi="Arial" w:cs="Arial"/>
          <w:sz w:val="22"/>
        </w:rPr>
        <w:t>Organic</w:t>
      </w:r>
      <w:r w:rsidR="00F3520C">
        <w:rPr>
          <w:rFonts w:ascii="Arial" w:hAnsi="Arial" w:cs="Arial"/>
          <w:sz w:val="22"/>
        </w:rPr>
        <w:t xml:space="preserve"> bread</w:t>
      </w:r>
    </w:p>
    <w:p w14:paraId="5D73484E" w14:textId="77777777" w:rsidR="000728F9" w:rsidRPr="00FD51EC" w:rsidRDefault="001B59FB" w:rsidP="00622A8C">
      <w:pPr>
        <w:pStyle w:val="ListParagraph"/>
        <w:numPr>
          <w:ilvl w:val="0"/>
          <w:numId w:val="16"/>
        </w:numPr>
        <w:tabs>
          <w:tab w:val="clear" w:pos="567"/>
        </w:tabs>
        <w:spacing w:after="0" w:line="240" w:lineRule="auto"/>
        <w:ind w:left="0" w:firstLine="0"/>
        <w:contextualSpacing w:val="0"/>
        <w:rPr>
          <w:rFonts w:ascii="Arial" w:hAnsi="Arial" w:cs="Arial"/>
          <w:sz w:val="22"/>
        </w:rPr>
      </w:pPr>
      <w:r w:rsidRPr="00FD51EC">
        <w:rPr>
          <w:rFonts w:ascii="Arial" w:hAnsi="Arial" w:cs="Arial"/>
          <w:sz w:val="22"/>
        </w:rPr>
        <w:t>Gluten free</w:t>
      </w:r>
      <w:r w:rsidR="00F3520C">
        <w:rPr>
          <w:rFonts w:ascii="Arial" w:hAnsi="Arial" w:cs="Arial"/>
          <w:sz w:val="22"/>
        </w:rPr>
        <w:t xml:space="preserve"> bread</w:t>
      </w:r>
    </w:p>
    <w:p w14:paraId="5D73484F" w14:textId="77777777" w:rsidR="001A3111" w:rsidRDefault="001F4AE6" w:rsidP="00622A8C">
      <w:pPr>
        <w:pStyle w:val="Heading3"/>
      </w:pPr>
      <w:bookmarkStart w:id="9" w:name="_Toc430854498"/>
      <w:r>
        <w:t>3.1.3</w:t>
      </w:r>
      <w:r>
        <w:tab/>
      </w:r>
      <w:r w:rsidR="001A3111" w:rsidRPr="00FD51EC">
        <w:t>Phase 2 sampling</w:t>
      </w:r>
      <w:bookmarkEnd w:id="9"/>
    </w:p>
    <w:p w14:paraId="5D734850" w14:textId="77777777" w:rsidR="002D048C" w:rsidRPr="00343982" w:rsidRDefault="001A3111" w:rsidP="00343982">
      <w:pPr>
        <w:pStyle w:val="Table1"/>
        <w:spacing w:after="200"/>
        <w:jc w:val="left"/>
        <w:rPr>
          <w:rFonts w:ascii="Arial" w:hAnsi="Arial" w:cs="Arial"/>
          <w:b w:val="0"/>
          <w:sz w:val="22"/>
          <w:szCs w:val="22"/>
        </w:rPr>
      </w:pPr>
      <w:r w:rsidRPr="00C02459">
        <w:rPr>
          <w:rFonts w:ascii="Arial" w:hAnsi="Arial" w:cs="Arial"/>
          <w:b w:val="0"/>
          <w:sz w:val="22"/>
        </w:rPr>
        <w:t xml:space="preserve">The second </w:t>
      </w:r>
      <w:r w:rsidR="002A4D37">
        <w:rPr>
          <w:rFonts w:ascii="Arial" w:hAnsi="Arial" w:cs="Arial"/>
          <w:b w:val="0"/>
          <w:sz w:val="22"/>
        </w:rPr>
        <w:t xml:space="preserve">bread </w:t>
      </w:r>
      <w:r w:rsidRPr="00C02459">
        <w:rPr>
          <w:rFonts w:ascii="Arial" w:hAnsi="Arial" w:cs="Arial"/>
          <w:b w:val="0"/>
          <w:sz w:val="22"/>
        </w:rPr>
        <w:t xml:space="preserve">survey (phase 2) was conducted in March/April 2012, </w:t>
      </w:r>
      <w:r w:rsidR="005239A5">
        <w:rPr>
          <w:rFonts w:ascii="Arial" w:hAnsi="Arial" w:cs="Arial"/>
          <w:b w:val="0"/>
          <w:sz w:val="22"/>
        </w:rPr>
        <w:t>about</w:t>
      </w:r>
      <w:r w:rsidRPr="00C02459">
        <w:rPr>
          <w:rFonts w:ascii="Arial" w:hAnsi="Arial" w:cs="Arial"/>
          <w:b w:val="0"/>
          <w:sz w:val="22"/>
        </w:rPr>
        <w:t xml:space="preserve"> </w:t>
      </w:r>
      <w:r w:rsidR="002D601B">
        <w:rPr>
          <w:rFonts w:ascii="Arial" w:hAnsi="Arial" w:cs="Arial"/>
          <w:b w:val="0"/>
          <w:sz w:val="22"/>
        </w:rPr>
        <w:t>two and a half years</w:t>
      </w:r>
      <w:r w:rsidRPr="00C02459">
        <w:rPr>
          <w:rFonts w:ascii="Arial" w:hAnsi="Arial" w:cs="Arial"/>
          <w:b w:val="0"/>
          <w:sz w:val="22"/>
        </w:rPr>
        <w:t xml:space="preserve"> after the standard </w:t>
      </w:r>
      <w:r w:rsidR="00725614" w:rsidRPr="00C02459">
        <w:rPr>
          <w:rFonts w:ascii="Arial" w:hAnsi="Arial" w:cs="Arial"/>
          <w:b w:val="0"/>
          <w:sz w:val="22"/>
        </w:rPr>
        <w:t xml:space="preserve">was implemented. This survey </w:t>
      </w:r>
      <w:r w:rsidR="00553276">
        <w:rPr>
          <w:rFonts w:ascii="Arial" w:hAnsi="Arial" w:cs="Arial"/>
          <w:b w:val="0"/>
          <w:sz w:val="22"/>
        </w:rPr>
        <w:t>only sampled</w:t>
      </w:r>
      <w:r w:rsidR="006F522B" w:rsidRPr="00C02459">
        <w:rPr>
          <w:rFonts w:ascii="Arial" w:hAnsi="Arial" w:cs="Arial"/>
          <w:b w:val="0"/>
          <w:sz w:val="22"/>
        </w:rPr>
        <w:t xml:space="preserve"> the </w:t>
      </w:r>
      <w:r w:rsidR="00C02459" w:rsidRPr="00C02459">
        <w:rPr>
          <w:rFonts w:ascii="Arial" w:hAnsi="Arial" w:cs="Arial"/>
          <w:b w:val="0"/>
          <w:sz w:val="22"/>
        </w:rPr>
        <w:t xml:space="preserve">commonly consumed </w:t>
      </w:r>
      <w:r w:rsidR="006F522B" w:rsidRPr="00C02459">
        <w:rPr>
          <w:rFonts w:ascii="Arial" w:hAnsi="Arial" w:cs="Arial"/>
          <w:b w:val="0"/>
          <w:sz w:val="22"/>
        </w:rPr>
        <w:t xml:space="preserve">three </w:t>
      </w:r>
      <w:r w:rsidR="00C02459" w:rsidRPr="00C02459">
        <w:rPr>
          <w:rFonts w:ascii="Arial" w:hAnsi="Arial" w:cs="Arial"/>
          <w:b w:val="0"/>
          <w:sz w:val="22"/>
        </w:rPr>
        <w:t xml:space="preserve">main </w:t>
      </w:r>
      <w:r w:rsidR="006F522B" w:rsidRPr="00C02459">
        <w:rPr>
          <w:rFonts w:ascii="Arial" w:hAnsi="Arial" w:cs="Arial"/>
          <w:b w:val="0"/>
          <w:sz w:val="22"/>
        </w:rPr>
        <w:t xml:space="preserve">bread </w:t>
      </w:r>
      <w:r w:rsidR="00C02459" w:rsidRPr="00C02459">
        <w:rPr>
          <w:rFonts w:ascii="Arial" w:hAnsi="Arial" w:cs="Arial"/>
          <w:b w:val="0"/>
          <w:sz w:val="22"/>
        </w:rPr>
        <w:t>types</w:t>
      </w:r>
      <w:r w:rsidR="00725614" w:rsidRPr="00C02459">
        <w:rPr>
          <w:rFonts w:ascii="Arial" w:hAnsi="Arial" w:cs="Arial"/>
          <w:b w:val="0"/>
          <w:sz w:val="22"/>
        </w:rPr>
        <w:t xml:space="preserve"> i.e</w:t>
      </w:r>
      <w:r w:rsidR="00F8527C">
        <w:rPr>
          <w:rFonts w:ascii="Arial" w:hAnsi="Arial" w:cs="Arial"/>
          <w:b w:val="0"/>
          <w:sz w:val="22"/>
        </w:rPr>
        <w:t>.</w:t>
      </w:r>
      <w:r w:rsidRPr="00C02459">
        <w:rPr>
          <w:rFonts w:ascii="Arial" w:hAnsi="Arial" w:cs="Arial"/>
          <w:b w:val="0"/>
          <w:sz w:val="22"/>
        </w:rPr>
        <w:t xml:space="preserve"> white, wholemeal and multigrain and seeds breads.  Ninety-six bread samples were purchased from all the states and territories using </w:t>
      </w:r>
      <w:r w:rsidRPr="00C02459">
        <w:rPr>
          <w:rFonts w:ascii="Arial" w:hAnsi="Arial" w:cs="Arial"/>
          <w:b w:val="0"/>
          <w:sz w:val="22"/>
        </w:rPr>
        <w:lastRenderedPageBreak/>
        <w:t>representative food retail outlets</w:t>
      </w:r>
      <w:r w:rsidR="00C02459" w:rsidRPr="00C02459">
        <w:rPr>
          <w:rFonts w:ascii="Arial" w:hAnsi="Arial" w:cs="Arial"/>
          <w:b w:val="0"/>
          <w:sz w:val="22"/>
        </w:rPr>
        <w:t xml:space="preserve"> similar to those used in phase 1</w:t>
      </w:r>
      <w:r w:rsidRPr="00C02459">
        <w:rPr>
          <w:rFonts w:ascii="Arial" w:hAnsi="Arial" w:cs="Arial"/>
          <w:b w:val="0"/>
          <w:sz w:val="22"/>
        </w:rPr>
        <w:t xml:space="preserve">. </w:t>
      </w:r>
      <w:r w:rsidR="00725614" w:rsidRPr="00C02459">
        <w:rPr>
          <w:rFonts w:ascii="Arial" w:hAnsi="Arial" w:cs="Arial"/>
          <w:b w:val="0"/>
          <w:sz w:val="22"/>
        </w:rPr>
        <w:t>For this</w:t>
      </w:r>
      <w:r w:rsidRPr="00C02459">
        <w:rPr>
          <w:rFonts w:ascii="Arial" w:hAnsi="Arial" w:cs="Arial"/>
          <w:b w:val="0"/>
          <w:sz w:val="22"/>
        </w:rPr>
        <w:t xml:space="preserve"> phase </w:t>
      </w:r>
      <w:r w:rsidR="00725614" w:rsidRPr="00C02459">
        <w:rPr>
          <w:rFonts w:ascii="Arial" w:hAnsi="Arial" w:cs="Arial"/>
          <w:b w:val="0"/>
          <w:sz w:val="22"/>
        </w:rPr>
        <w:t xml:space="preserve">of </w:t>
      </w:r>
      <w:r w:rsidRPr="00C02459">
        <w:rPr>
          <w:rFonts w:ascii="Arial" w:hAnsi="Arial" w:cs="Arial"/>
          <w:b w:val="0"/>
          <w:sz w:val="22"/>
        </w:rPr>
        <w:t xml:space="preserve">sampling, FSANZ prepared </w:t>
      </w:r>
      <w:r w:rsidR="002D18BF" w:rsidRPr="00C02459">
        <w:rPr>
          <w:rFonts w:ascii="Arial" w:hAnsi="Arial" w:cs="Arial"/>
          <w:b w:val="0"/>
          <w:sz w:val="22"/>
        </w:rPr>
        <w:t xml:space="preserve">four </w:t>
      </w:r>
      <w:r w:rsidRPr="00C02459">
        <w:rPr>
          <w:rFonts w:ascii="Arial" w:hAnsi="Arial" w:cs="Arial"/>
          <w:b w:val="0"/>
          <w:sz w:val="22"/>
        </w:rPr>
        <w:t xml:space="preserve">loaves of </w:t>
      </w:r>
      <w:r w:rsidR="002D18BF" w:rsidRPr="00C02459">
        <w:rPr>
          <w:rFonts w:ascii="Arial" w:hAnsi="Arial" w:cs="Arial"/>
          <w:b w:val="0"/>
          <w:sz w:val="22"/>
        </w:rPr>
        <w:t xml:space="preserve">‘unfortified bread samples’ </w:t>
      </w:r>
      <w:r w:rsidRPr="00C02459">
        <w:rPr>
          <w:rFonts w:ascii="Arial" w:hAnsi="Arial" w:cs="Arial"/>
          <w:b w:val="0"/>
          <w:sz w:val="22"/>
        </w:rPr>
        <w:t>using unfortified wheat flour and non-iodised salt</w:t>
      </w:r>
      <w:r w:rsidR="002D18BF" w:rsidRPr="00C02459">
        <w:rPr>
          <w:rFonts w:ascii="Arial" w:hAnsi="Arial" w:cs="Arial"/>
          <w:b w:val="0"/>
          <w:sz w:val="22"/>
        </w:rPr>
        <w:t xml:space="preserve">. These </w:t>
      </w:r>
      <w:r w:rsidR="002A4D37">
        <w:rPr>
          <w:rFonts w:ascii="Arial" w:hAnsi="Arial" w:cs="Arial"/>
          <w:b w:val="0"/>
          <w:sz w:val="22"/>
        </w:rPr>
        <w:t xml:space="preserve">FSANZ </w:t>
      </w:r>
      <w:r w:rsidR="002D18BF" w:rsidRPr="00C02459">
        <w:rPr>
          <w:rFonts w:ascii="Arial" w:hAnsi="Arial" w:cs="Arial"/>
          <w:b w:val="0"/>
          <w:sz w:val="22"/>
        </w:rPr>
        <w:t>samples were to be used</w:t>
      </w:r>
      <w:r w:rsidRPr="00C02459">
        <w:rPr>
          <w:rFonts w:ascii="Arial" w:hAnsi="Arial" w:cs="Arial"/>
          <w:b w:val="0"/>
          <w:sz w:val="22"/>
        </w:rPr>
        <w:t xml:space="preserve"> as blanks to assess the amount of </w:t>
      </w:r>
      <w:r w:rsidR="002D18BF" w:rsidRPr="00C02459">
        <w:rPr>
          <w:rFonts w:ascii="Arial" w:hAnsi="Arial" w:cs="Arial"/>
          <w:b w:val="0"/>
          <w:sz w:val="22"/>
        </w:rPr>
        <w:t>iodine</w:t>
      </w:r>
      <w:r w:rsidRPr="00C02459">
        <w:rPr>
          <w:rFonts w:ascii="Arial" w:hAnsi="Arial" w:cs="Arial"/>
          <w:b w:val="0"/>
          <w:sz w:val="22"/>
        </w:rPr>
        <w:t xml:space="preserve"> </w:t>
      </w:r>
      <w:r w:rsidR="002D18BF" w:rsidRPr="00C02459">
        <w:rPr>
          <w:rFonts w:ascii="Arial" w:hAnsi="Arial" w:cs="Arial"/>
          <w:b w:val="0"/>
          <w:sz w:val="22"/>
        </w:rPr>
        <w:t>they contained</w:t>
      </w:r>
      <w:r w:rsidRPr="00C02459">
        <w:rPr>
          <w:rFonts w:ascii="Arial" w:hAnsi="Arial" w:cs="Arial"/>
          <w:b w:val="0"/>
          <w:sz w:val="22"/>
        </w:rPr>
        <w:t xml:space="preserve"> </w:t>
      </w:r>
      <w:r w:rsidR="002A4D37">
        <w:rPr>
          <w:rFonts w:ascii="Arial" w:hAnsi="Arial" w:cs="Arial"/>
          <w:b w:val="0"/>
          <w:sz w:val="22"/>
        </w:rPr>
        <w:t>for comparison</w:t>
      </w:r>
      <w:r w:rsidRPr="00C02459">
        <w:rPr>
          <w:rFonts w:ascii="Arial" w:hAnsi="Arial" w:cs="Arial"/>
          <w:b w:val="0"/>
          <w:sz w:val="22"/>
        </w:rPr>
        <w:t xml:space="preserve"> </w:t>
      </w:r>
      <w:r w:rsidR="002A4D37">
        <w:rPr>
          <w:rFonts w:ascii="Arial" w:hAnsi="Arial" w:cs="Arial"/>
          <w:b w:val="0"/>
          <w:sz w:val="22"/>
        </w:rPr>
        <w:t>with</w:t>
      </w:r>
      <w:r w:rsidRPr="00C02459">
        <w:rPr>
          <w:rFonts w:ascii="Arial" w:hAnsi="Arial" w:cs="Arial"/>
          <w:b w:val="0"/>
          <w:sz w:val="22"/>
        </w:rPr>
        <w:t xml:space="preserve"> those </w:t>
      </w:r>
      <w:r w:rsidR="002D18BF" w:rsidRPr="00C02459">
        <w:rPr>
          <w:rFonts w:ascii="Arial" w:hAnsi="Arial" w:cs="Arial"/>
          <w:b w:val="0"/>
          <w:sz w:val="22"/>
        </w:rPr>
        <w:t>bought from the bakeries</w:t>
      </w:r>
      <w:r w:rsidRPr="00C02459">
        <w:rPr>
          <w:rFonts w:ascii="Arial" w:hAnsi="Arial" w:cs="Arial"/>
          <w:b w:val="0"/>
          <w:sz w:val="22"/>
        </w:rPr>
        <w:t>.</w:t>
      </w:r>
      <w:r w:rsidRPr="00FD51EC">
        <w:rPr>
          <w:rFonts w:ascii="Arial" w:hAnsi="Arial" w:cs="Arial"/>
          <w:sz w:val="22"/>
        </w:rPr>
        <w:t xml:space="preserve"> </w:t>
      </w:r>
    </w:p>
    <w:p w14:paraId="5D734851" w14:textId="77777777" w:rsidR="00931B04" w:rsidRPr="00931B04" w:rsidRDefault="001F4AE6" w:rsidP="00622A8C">
      <w:pPr>
        <w:pStyle w:val="Heading3"/>
      </w:pPr>
      <w:bookmarkStart w:id="10" w:name="_Toc430854499"/>
      <w:r>
        <w:t>3.1.4</w:t>
      </w:r>
      <w:r>
        <w:tab/>
      </w:r>
      <w:r w:rsidR="001A3111" w:rsidRPr="00FD51EC">
        <w:t>Phase 3 sampling</w:t>
      </w:r>
      <w:bookmarkEnd w:id="10"/>
    </w:p>
    <w:p w14:paraId="5D734852" w14:textId="77777777" w:rsidR="00980596" w:rsidRPr="00343982" w:rsidRDefault="001A3111" w:rsidP="00343982">
      <w:pPr>
        <w:pStyle w:val="Table1"/>
        <w:spacing w:after="200"/>
        <w:jc w:val="left"/>
        <w:rPr>
          <w:rFonts w:ascii="Arial" w:hAnsi="Arial" w:cs="Arial"/>
          <w:b w:val="0"/>
          <w:sz w:val="22"/>
          <w:szCs w:val="22"/>
        </w:rPr>
      </w:pPr>
      <w:r w:rsidRPr="001D6E68">
        <w:rPr>
          <w:rFonts w:ascii="Arial" w:hAnsi="Arial" w:cs="Arial"/>
          <w:b w:val="0"/>
          <w:sz w:val="22"/>
        </w:rPr>
        <w:t xml:space="preserve">The third </w:t>
      </w:r>
      <w:r w:rsidR="005239A5">
        <w:rPr>
          <w:rFonts w:ascii="Arial" w:hAnsi="Arial" w:cs="Arial"/>
          <w:b w:val="0"/>
          <w:sz w:val="22"/>
        </w:rPr>
        <w:t xml:space="preserve">bread </w:t>
      </w:r>
      <w:r w:rsidRPr="001D6E68">
        <w:rPr>
          <w:rFonts w:ascii="Arial" w:hAnsi="Arial" w:cs="Arial"/>
          <w:b w:val="0"/>
          <w:sz w:val="22"/>
        </w:rPr>
        <w:t xml:space="preserve">survey was </w:t>
      </w:r>
      <w:r w:rsidR="00D85E5B" w:rsidRPr="001D6E68">
        <w:rPr>
          <w:rFonts w:ascii="Arial" w:hAnsi="Arial" w:cs="Arial"/>
          <w:b w:val="0"/>
          <w:sz w:val="22"/>
        </w:rPr>
        <w:t xml:space="preserve">undertaken from late April through to </w:t>
      </w:r>
      <w:r w:rsidRPr="001D6E68">
        <w:rPr>
          <w:rFonts w:ascii="Arial" w:hAnsi="Arial" w:cs="Arial"/>
          <w:b w:val="0"/>
          <w:sz w:val="22"/>
        </w:rPr>
        <w:t xml:space="preserve">early June 2013. This sampling was carried out </w:t>
      </w:r>
      <w:r w:rsidR="005239A5">
        <w:rPr>
          <w:rFonts w:ascii="Arial" w:hAnsi="Arial" w:cs="Arial"/>
          <w:b w:val="0"/>
          <w:sz w:val="22"/>
        </w:rPr>
        <w:t>about three and a half years after</w:t>
      </w:r>
      <w:r w:rsidRPr="001D6E68">
        <w:rPr>
          <w:rFonts w:ascii="Arial" w:hAnsi="Arial" w:cs="Arial"/>
          <w:b w:val="0"/>
          <w:sz w:val="22"/>
        </w:rPr>
        <w:t xml:space="preserve"> implementation of the </w:t>
      </w:r>
      <w:r w:rsidR="005239A5">
        <w:rPr>
          <w:rFonts w:ascii="Arial" w:hAnsi="Arial" w:cs="Arial"/>
          <w:b w:val="0"/>
          <w:sz w:val="22"/>
        </w:rPr>
        <w:t xml:space="preserve">fortification </w:t>
      </w:r>
      <w:r w:rsidRPr="001D6E68">
        <w:rPr>
          <w:rFonts w:ascii="Arial" w:hAnsi="Arial" w:cs="Arial"/>
          <w:b w:val="0"/>
          <w:sz w:val="22"/>
        </w:rPr>
        <w:t>standard</w:t>
      </w:r>
      <w:r w:rsidR="005239A5">
        <w:rPr>
          <w:rFonts w:ascii="Arial" w:hAnsi="Arial" w:cs="Arial"/>
          <w:b w:val="0"/>
          <w:sz w:val="22"/>
        </w:rPr>
        <w:t>.</w:t>
      </w:r>
      <w:r w:rsidRPr="001D6E68">
        <w:rPr>
          <w:rFonts w:ascii="Arial" w:hAnsi="Arial" w:cs="Arial"/>
          <w:b w:val="0"/>
          <w:sz w:val="22"/>
        </w:rPr>
        <w:t xml:space="preserve"> </w:t>
      </w:r>
      <w:r w:rsidR="005239A5">
        <w:rPr>
          <w:rFonts w:ascii="Arial" w:hAnsi="Arial" w:cs="Arial"/>
          <w:b w:val="0"/>
          <w:sz w:val="22"/>
        </w:rPr>
        <w:t xml:space="preserve">Unlike the previous two surveys, </w:t>
      </w:r>
      <w:r w:rsidRPr="001D6E68">
        <w:rPr>
          <w:rFonts w:ascii="Arial" w:hAnsi="Arial" w:cs="Arial"/>
          <w:b w:val="0"/>
          <w:sz w:val="22"/>
        </w:rPr>
        <w:t xml:space="preserve">samples were sourced from </w:t>
      </w:r>
      <w:r w:rsidR="00D85E5B" w:rsidRPr="001D6E68">
        <w:rPr>
          <w:rFonts w:ascii="Arial" w:hAnsi="Arial" w:cs="Arial"/>
          <w:b w:val="0"/>
          <w:sz w:val="22"/>
        </w:rPr>
        <w:t xml:space="preserve">only </w:t>
      </w:r>
      <w:r w:rsidRPr="001D6E68">
        <w:rPr>
          <w:rFonts w:ascii="Arial" w:hAnsi="Arial" w:cs="Arial"/>
          <w:b w:val="0"/>
          <w:sz w:val="22"/>
        </w:rPr>
        <w:t>four jurisdictions, Western Australia, Victoria, Queensland and the Australia Capital Territory. However, the samples were purchased from representative food retail outlets in the capital cities of these jurisdictions as were those for phases 1 and 2.</w:t>
      </w:r>
      <w:r w:rsidR="00551003">
        <w:rPr>
          <w:rFonts w:ascii="Arial" w:hAnsi="Arial" w:cs="Arial"/>
          <w:sz w:val="22"/>
        </w:rPr>
        <w:t xml:space="preserve"> </w:t>
      </w:r>
    </w:p>
    <w:p w14:paraId="7C261439" w14:textId="77777777" w:rsidR="00622A8C" w:rsidRDefault="00622A8C" w:rsidP="00CC5193">
      <w:pPr>
        <w:pStyle w:val="Heading1"/>
        <w:spacing w:after="200"/>
        <w:ind w:left="0" w:firstLine="0"/>
        <w:rPr>
          <w:rFonts w:ascii="Arial" w:hAnsi="Arial" w:cs="Arial"/>
          <w:sz w:val="24"/>
          <w:szCs w:val="24"/>
        </w:rPr>
      </w:pPr>
      <w:bookmarkStart w:id="11" w:name="_Toc430854500"/>
    </w:p>
    <w:p w14:paraId="5D734853" w14:textId="77777777" w:rsidR="00F8248D" w:rsidRPr="00EF198C" w:rsidRDefault="005707D1" w:rsidP="00CC5193">
      <w:pPr>
        <w:pStyle w:val="Heading1"/>
        <w:spacing w:after="200"/>
        <w:ind w:left="0" w:firstLine="0"/>
        <w:rPr>
          <w:rFonts w:ascii="Arial" w:hAnsi="Arial" w:cs="Arial"/>
          <w:sz w:val="24"/>
          <w:szCs w:val="24"/>
        </w:rPr>
      </w:pPr>
      <w:r w:rsidRPr="00EF198C">
        <w:rPr>
          <w:rFonts w:ascii="Arial" w:hAnsi="Arial" w:cs="Arial"/>
          <w:sz w:val="24"/>
          <w:szCs w:val="24"/>
        </w:rPr>
        <w:t>4.0</w:t>
      </w:r>
      <w:r w:rsidRPr="00EF198C">
        <w:rPr>
          <w:rFonts w:ascii="Arial" w:hAnsi="Arial" w:cs="Arial"/>
          <w:sz w:val="24"/>
          <w:szCs w:val="24"/>
        </w:rPr>
        <w:tab/>
      </w:r>
      <w:r w:rsidR="006F522B" w:rsidRPr="00EF198C">
        <w:rPr>
          <w:rFonts w:ascii="Arial" w:hAnsi="Arial" w:cs="Arial"/>
          <w:sz w:val="24"/>
          <w:szCs w:val="24"/>
        </w:rPr>
        <w:tab/>
      </w:r>
      <w:r w:rsidR="00CA55F6" w:rsidRPr="00EF198C">
        <w:rPr>
          <w:rFonts w:ascii="Arial" w:hAnsi="Arial" w:cs="Arial"/>
          <w:sz w:val="24"/>
          <w:szCs w:val="24"/>
        </w:rPr>
        <w:t>Sample</w:t>
      </w:r>
      <w:r w:rsidR="003B584E" w:rsidRPr="00EF198C">
        <w:rPr>
          <w:rFonts w:ascii="Arial" w:hAnsi="Arial" w:cs="Arial"/>
          <w:sz w:val="24"/>
          <w:szCs w:val="24"/>
        </w:rPr>
        <w:t xml:space="preserve"> p</w:t>
      </w:r>
      <w:r w:rsidR="00F8248D" w:rsidRPr="00EF198C">
        <w:rPr>
          <w:rFonts w:ascii="Arial" w:hAnsi="Arial" w:cs="Arial"/>
          <w:sz w:val="24"/>
          <w:szCs w:val="24"/>
        </w:rPr>
        <w:t>reparation</w:t>
      </w:r>
      <w:r w:rsidR="003B584E" w:rsidRPr="00EF198C">
        <w:rPr>
          <w:rFonts w:ascii="Arial" w:hAnsi="Arial" w:cs="Arial"/>
          <w:sz w:val="24"/>
          <w:szCs w:val="24"/>
        </w:rPr>
        <w:t xml:space="preserve"> and a</w:t>
      </w:r>
      <w:r w:rsidR="00482B46" w:rsidRPr="00EF198C">
        <w:rPr>
          <w:rFonts w:ascii="Arial" w:hAnsi="Arial" w:cs="Arial"/>
          <w:sz w:val="24"/>
          <w:szCs w:val="24"/>
        </w:rPr>
        <w:t>nalysis</w:t>
      </w:r>
      <w:bookmarkEnd w:id="11"/>
      <w:r w:rsidR="00482B46" w:rsidRPr="00EF198C">
        <w:rPr>
          <w:rFonts w:ascii="Arial" w:hAnsi="Arial" w:cs="Arial"/>
          <w:sz w:val="24"/>
          <w:szCs w:val="24"/>
        </w:rPr>
        <w:t xml:space="preserve"> </w:t>
      </w:r>
    </w:p>
    <w:p w14:paraId="5D734854" w14:textId="77777777" w:rsidR="009A175B" w:rsidRPr="00FD51EC" w:rsidRDefault="00BF22EC" w:rsidP="00CC5193">
      <w:pPr>
        <w:rPr>
          <w:rFonts w:ascii="Arial" w:hAnsi="Arial" w:cs="Arial"/>
          <w:sz w:val="22"/>
        </w:rPr>
      </w:pPr>
      <w:r w:rsidRPr="00FD51EC">
        <w:rPr>
          <w:rFonts w:ascii="Arial" w:hAnsi="Arial" w:cs="Arial"/>
          <w:sz w:val="22"/>
        </w:rPr>
        <w:t xml:space="preserve">The NMI food analytical </w:t>
      </w:r>
      <w:r w:rsidR="00670403" w:rsidRPr="00FD51EC">
        <w:rPr>
          <w:rFonts w:ascii="Arial" w:hAnsi="Arial" w:cs="Arial"/>
          <w:sz w:val="22"/>
        </w:rPr>
        <w:t>laborator</w:t>
      </w:r>
      <w:r w:rsidR="00670403">
        <w:rPr>
          <w:rFonts w:ascii="Arial" w:hAnsi="Arial" w:cs="Arial"/>
          <w:sz w:val="22"/>
        </w:rPr>
        <w:t>y</w:t>
      </w:r>
      <w:r w:rsidR="00670403" w:rsidRPr="00FD51EC">
        <w:rPr>
          <w:rFonts w:ascii="Arial" w:hAnsi="Arial" w:cs="Arial"/>
          <w:sz w:val="22"/>
        </w:rPr>
        <w:t xml:space="preserve"> </w:t>
      </w:r>
      <w:r w:rsidRPr="00FD51EC">
        <w:rPr>
          <w:rFonts w:ascii="Arial" w:hAnsi="Arial" w:cs="Arial"/>
          <w:sz w:val="22"/>
        </w:rPr>
        <w:t xml:space="preserve">in Melbourne was contracted to undertake the </w:t>
      </w:r>
      <w:r w:rsidR="00C17827" w:rsidRPr="00FD51EC">
        <w:rPr>
          <w:rFonts w:ascii="Arial" w:hAnsi="Arial" w:cs="Arial"/>
          <w:sz w:val="22"/>
        </w:rPr>
        <w:t>iodine</w:t>
      </w:r>
      <w:r w:rsidRPr="00FD51EC">
        <w:rPr>
          <w:rFonts w:ascii="Arial" w:hAnsi="Arial" w:cs="Arial"/>
          <w:sz w:val="22"/>
        </w:rPr>
        <w:t xml:space="preserve"> analysis</w:t>
      </w:r>
      <w:r w:rsidR="00C17827" w:rsidRPr="00FD51EC">
        <w:rPr>
          <w:rFonts w:ascii="Arial" w:hAnsi="Arial" w:cs="Arial"/>
          <w:sz w:val="22"/>
        </w:rPr>
        <w:t>,</w:t>
      </w:r>
      <w:r w:rsidRPr="00FD51EC">
        <w:rPr>
          <w:rFonts w:ascii="Arial" w:hAnsi="Arial" w:cs="Arial"/>
          <w:sz w:val="22"/>
        </w:rPr>
        <w:t xml:space="preserve"> and used the same </w:t>
      </w:r>
      <w:r w:rsidR="00783D48">
        <w:rPr>
          <w:rFonts w:ascii="Arial" w:hAnsi="Arial" w:cs="Arial"/>
          <w:sz w:val="22"/>
        </w:rPr>
        <w:t>sample preparation and analytical methods</w:t>
      </w:r>
      <w:r w:rsidRPr="00FD51EC">
        <w:rPr>
          <w:rFonts w:ascii="Arial" w:hAnsi="Arial" w:cs="Arial"/>
          <w:sz w:val="22"/>
        </w:rPr>
        <w:t xml:space="preserve"> f</w:t>
      </w:r>
      <w:r w:rsidR="00C17827" w:rsidRPr="00FD51EC">
        <w:rPr>
          <w:rFonts w:ascii="Arial" w:hAnsi="Arial" w:cs="Arial"/>
          <w:sz w:val="22"/>
        </w:rPr>
        <w:t xml:space="preserve">or </w:t>
      </w:r>
      <w:r w:rsidR="00831212">
        <w:rPr>
          <w:rFonts w:ascii="Arial" w:hAnsi="Arial" w:cs="Arial"/>
          <w:sz w:val="22"/>
        </w:rPr>
        <w:t xml:space="preserve">bread </w:t>
      </w:r>
      <w:r w:rsidR="00C17827" w:rsidRPr="00FD51EC">
        <w:rPr>
          <w:rFonts w:ascii="Arial" w:hAnsi="Arial" w:cs="Arial"/>
          <w:sz w:val="22"/>
        </w:rPr>
        <w:t>samples from all the surveys</w:t>
      </w:r>
      <w:r w:rsidRPr="00FD51EC">
        <w:rPr>
          <w:rFonts w:ascii="Arial" w:hAnsi="Arial" w:cs="Arial"/>
          <w:sz w:val="22"/>
        </w:rPr>
        <w:t>.</w:t>
      </w:r>
      <w:r w:rsidR="009A175B" w:rsidRPr="00FD51EC">
        <w:rPr>
          <w:rFonts w:ascii="Arial" w:hAnsi="Arial" w:cs="Arial"/>
          <w:sz w:val="22"/>
        </w:rPr>
        <w:t xml:space="preserve"> </w:t>
      </w:r>
      <w:r w:rsidR="00831212">
        <w:rPr>
          <w:rFonts w:ascii="Arial" w:hAnsi="Arial" w:cs="Arial"/>
          <w:sz w:val="22"/>
        </w:rPr>
        <w:t>S</w:t>
      </w:r>
      <w:r w:rsidR="00783D48">
        <w:rPr>
          <w:rFonts w:ascii="Arial" w:hAnsi="Arial" w:cs="Arial"/>
          <w:sz w:val="22"/>
        </w:rPr>
        <w:t xml:space="preserve">amples from all the jurisdictions </w:t>
      </w:r>
      <w:r w:rsidR="009A175B" w:rsidRPr="00FD51EC">
        <w:rPr>
          <w:rFonts w:ascii="Arial" w:hAnsi="Arial" w:cs="Arial"/>
          <w:sz w:val="22"/>
        </w:rPr>
        <w:t xml:space="preserve">were individually coded and weighed on arrival at the laboratory. One-half of each </w:t>
      </w:r>
      <w:r w:rsidRPr="00FD51EC">
        <w:rPr>
          <w:rFonts w:ascii="Arial" w:hAnsi="Arial" w:cs="Arial"/>
          <w:sz w:val="22"/>
        </w:rPr>
        <w:t>loaf of bread</w:t>
      </w:r>
      <w:r w:rsidR="009A175B" w:rsidRPr="00FD51EC">
        <w:rPr>
          <w:rFonts w:ascii="Arial" w:hAnsi="Arial" w:cs="Arial"/>
          <w:sz w:val="22"/>
        </w:rPr>
        <w:t xml:space="preserve"> was then taken and air-dried overnight at about 37 degrees Celsius</w:t>
      </w:r>
      <w:r w:rsidR="001036D2" w:rsidRPr="00FD51EC">
        <w:rPr>
          <w:rFonts w:ascii="Arial" w:hAnsi="Arial" w:cs="Arial"/>
          <w:sz w:val="22"/>
        </w:rPr>
        <w:t xml:space="preserve"> and the</w:t>
      </w:r>
      <w:r w:rsidRPr="00FD51EC">
        <w:rPr>
          <w:rFonts w:ascii="Arial" w:hAnsi="Arial" w:cs="Arial"/>
          <w:sz w:val="22"/>
        </w:rPr>
        <w:t xml:space="preserve"> other half </w:t>
      </w:r>
      <w:r w:rsidR="001036D2" w:rsidRPr="00FD51EC">
        <w:rPr>
          <w:rFonts w:ascii="Arial" w:hAnsi="Arial" w:cs="Arial"/>
          <w:sz w:val="22"/>
        </w:rPr>
        <w:t xml:space="preserve">was stored </w:t>
      </w:r>
      <w:r w:rsidRPr="00FD51EC">
        <w:rPr>
          <w:rFonts w:ascii="Arial" w:hAnsi="Arial" w:cs="Arial"/>
          <w:sz w:val="22"/>
        </w:rPr>
        <w:t>frozen</w:t>
      </w:r>
      <w:r w:rsidR="009A175B" w:rsidRPr="00FD51EC">
        <w:rPr>
          <w:rFonts w:ascii="Arial" w:hAnsi="Arial" w:cs="Arial"/>
          <w:sz w:val="22"/>
        </w:rPr>
        <w:t>. The dried bread samples</w:t>
      </w:r>
      <w:r w:rsidR="001036D2" w:rsidRPr="00FD51EC">
        <w:rPr>
          <w:rFonts w:ascii="Arial" w:hAnsi="Arial" w:cs="Arial"/>
          <w:sz w:val="22"/>
        </w:rPr>
        <w:t xml:space="preserve"> (crust and crumb)</w:t>
      </w:r>
      <w:r w:rsidR="009A175B" w:rsidRPr="00FD51EC">
        <w:rPr>
          <w:rFonts w:ascii="Arial" w:hAnsi="Arial" w:cs="Arial"/>
          <w:sz w:val="22"/>
        </w:rPr>
        <w:t xml:space="preserve"> were </w:t>
      </w:r>
      <w:r w:rsidRPr="00FD51EC">
        <w:rPr>
          <w:rFonts w:ascii="Arial" w:hAnsi="Arial" w:cs="Arial"/>
          <w:sz w:val="22"/>
        </w:rPr>
        <w:t xml:space="preserve">each </w:t>
      </w:r>
      <w:r w:rsidR="009A175B" w:rsidRPr="00FD51EC">
        <w:rPr>
          <w:rFonts w:ascii="Arial" w:hAnsi="Arial" w:cs="Arial"/>
          <w:sz w:val="22"/>
        </w:rPr>
        <w:t>separately homogenised to below 0.25mm particle size (preferably &lt;0.125mm) and stored in labelled air-tight containers. The particle size is important to en</w:t>
      </w:r>
      <w:r w:rsidRPr="00FD51EC">
        <w:rPr>
          <w:rFonts w:ascii="Arial" w:hAnsi="Arial" w:cs="Arial"/>
          <w:sz w:val="22"/>
        </w:rPr>
        <w:t>able</w:t>
      </w:r>
      <w:r w:rsidR="009A175B" w:rsidRPr="00FD51EC">
        <w:rPr>
          <w:rFonts w:ascii="Arial" w:hAnsi="Arial" w:cs="Arial"/>
          <w:sz w:val="22"/>
        </w:rPr>
        <w:t xml:space="preserve"> complete iodine extraction. </w:t>
      </w:r>
      <w:r w:rsidR="00887632" w:rsidRPr="00FD51EC">
        <w:rPr>
          <w:rFonts w:ascii="Arial" w:hAnsi="Arial" w:cs="Arial"/>
          <w:sz w:val="22"/>
        </w:rPr>
        <w:t>The r</w:t>
      </w:r>
      <w:r w:rsidR="004212A1" w:rsidRPr="00FD51EC">
        <w:rPr>
          <w:rFonts w:ascii="Arial" w:hAnsi="Arial" w:cs="Arial"/>
          <w:sz w:val="22"/>
        </w:rPr>
        <w:t>equired s</w:t>
      </w:r>
      <w:r w:rsidR="00887632" w:rsidRPr="00FD51EC">
        <w:rPr>
          <w:rFonts w:ascii="Arial" w:hAnsi="Arial" w:cs="Arial"/>
          <w:sz w:val="22"/>
        </w:rPr>
        <w:t>ub-sample</w:t>
      </w:r>
      <w:r w:rsidR="004212A1" w:rsidRPr="00FD51EC">
        <w:rPr>
          <w:rFonts w:ascii="Arial" w:hAnsi="Arial" w:cs="Arial"/>
          <w:sz w:val="22"/>
        </w:rPr>
        <w:t xml:space="preserve"> of the well-homogenised test sample of individual bread</w:t>
      </w:r>
      <w:r w:rsidR="009D30C3" w:rsidRPr="00FD51EC">
        <w:rPr>
          <w:rFonts w:ascii="Arial" w:hAnsi="Arial" w:cs="Arial"/>
          <w:sz w:val="22"/>
        </w:rPr>
        <w:t>s</w:t>
      </w:r>
      <w:r w:rsidR="00887632" w:rsidRPr="00FD51EC">
        <w:rPr>
          <w:rFonts w:ascii="Arial" w:hAnsi="Arial" w:cs="Arial"/>
          <w:sz w:val="22"/>
        </w:rPr>
        <w:t>,</w:t>
      </w:r>
      <w:r w:rsidR="004212A1" w:rsidRPr="00FD51EC">
        <w:rPr>
          <w:rFonts w:ascii="Arial" w:hAnsi="Arial" w:cs="Arial"/>
          <w:sz w:val="22"/>
        </w:rPr>
        <w:t xml:space="preserve"> </w:t>
      </w:r>
      <w:r w:rsidR="00887632" w:rsidRPr="00FD51EC">
        <w:rPr>
          <w:rFonts w:ascii="Arial" w:hAnsi="Arial" w:cs="Arial"/>
          <w:sz w:val="22"/>
        </w:rPr>
        <w:t>w</w:t>
      </w:r>
      <w:r w:rsidR="009D30C3" w:rsidRPr="00FD51EC">
        <w:rPr>
          <w:rFonts w:ascii="Arial" w:hAnsi="Arial" w:cs="Arial"/>
          <w:sz w:val="22"/>
        </w:rPr>
        <w:t>ere</w:t>
      </w:r>
      <w:r w:rsidR="009A175B" w:rsidRPr="00FD51EC">
        <w:rPr>
          <w:rFonts w:ascii="Arial" w:hAnsi="Arial" w:cs="Arial"/>
          <w:sz w:val="22"/>
        </w:rPr>
        <w:t xml:space="preserve"> then taken for analysis. </w:t>
      </w:r>
    </w:p>
    <w:p w14:paraId="5D734855" w14:textId="77777777" w:rsidR="00483CA5" w:rsidRPr="00343982" w:rsidRDefault="00BF22EC" w:rsidP="00343982">
      <w:pPr>
        <w:pStyle w:val="BodyText3"/>
        <w:spacing w:after="200" w:line="276" w:lineRule="auto"/>
        <w:rPr>
          <w:rFonts w:ascii="Arial" w:hAnsi="Arial" w:cs="Arial"/>
          <w:i w:val="0"/>
          <w:color w:val="000000"/>
          <w:sz w:val="22"/>
          <w:szCs w:val="22"/>
        </w:rPr>
      </w:pPr>
      <w:r w:rsidRPr="00FD51EC">
        <w:rPr>
          <w:rFonts w:ascii="Arial" w:hAnsi="Arial" w:cs="Arial"/>
          <w:i w:val="0"/>
          <w:color w:val="000000"/>
          <w:sz w:val="22"/>
          <w:szCs w:val="22"/>
        </w:rPr>
        <w:t xml:space="preserve">The </w:t>
      </w:r>
      <w:r w:rsidR="001036D2" w:rsidRPr="00FD51EC">
        <w:rPr>
          <w:rFonts w:ascii="Arial" w:hAnsi="Arial" w:cs="Arial"/>
          <w:i w:val="0"/>
          <w:color w:val="000000"/>
          <w:sz w:val="22"/>
          <w:szCs w:val="22"/>
        </w:rPr>
        <w:t>FSANZ-</w:t>
      </w:r>
      <w:r w:rsidR="00483CA5" w:rsidRPr="00FD51EC">
        <w:rPr>
          <w:rFonts w:ascii="Arial" w:hAnsi="Arial" w:cs="Arial"/>
          <w:i w:val="0"/>
          <w:color w:val="000000"/>
          <w:sz w:val="22"/>
          <w:szCs w:val="22"/>
        </w:rPr>
        <w:t xml:space="preserve">baked unfortified samples of the three bread types </w:t>
      </w:r>
      <w:r w:rsidRPr="00FD51EC">
        <w:rPr>
          <w:rFonts w:ascii="Arial" w:hAnsi="Arial" w:cs="Arial"/>
          <w:i w:val="0"/>
          <w:color w:val="000000"/>
          <w:sz w:val="22"/>
          <w:szCs w:val="22"/>
        </w:rPr>
        <w:t xml:space="preserve">were </w:t>
      </w:r>
      <w:r w:rsidR="00831212">
        <w:rPr>
          <w:rFonts w:ascii="Arial" w:hAnsi="Arial" w:cs="Arial"/>
          <w:i w:val="0"/>
          <w:color w:val="000000"/>
          <w:sz w:val="22"/>
          <w:szCs w:val="22"/>
        </w:rPr>
        <w:t>similarly</w:t>
      </w:r>
      <w:r w:rsidRPr="00FD51EC">
        <w:rPr>
          <w:rFonts w:ascii="Arial" w:hAnsi="Arial" w:cs="Arial"/>
          <w:i w:val="0"/>
          <w:color w:val="000000"/>
          <w:sz w:val="22"/>
          <w:szCs w:val="22"/>
        </w:rPr>
        <w:t xml:space="preserve"> prepared for analysis</w:t>
      </w:r>
      <w:r w:rsidR="00483CA5" w:rsidRPr="00FD51EC">
        <w:rPr>
          <w:rFonts w:ascii="Arial" w:hAnsi="Arial" w:cs="Arial"/>
          <w:i w:val="0"/>
          <w:color w:val="000000"/>
          <w:sz w:val="22"/>
          <w:szCs w:val="22"/>
        </w:rPr>
        <w:t xml:space="preserve"> </w:t>
      </w:r>
      <w:r w:rsidRPr="00FD51EC">
        <w:rPr>
          <w:rFonts w:ascii="Arial" w:hAnsi="Arial" w:cs="Arial"/>
          <w:i w:val="0"/>
          <w:color w:val="000000"/>
          <w:sz w:val="22"/>
          <w:szCs w:val="22"/>
        </w:rPr>
        <w:t>to determine</w:t>
      </w:r>
      <w:r w:rsidR="00483CA5" w:rsidRPr="00FD51EC">
        <w:rPr>
          <w:rFonts w:ascii="Arial" w:hAnsi="Arial" w:cs="Arial"/>
          <w:i w:val="0"/>
          <w:color w:val="000000"/>
          <w:sz w:val="22"/>
          <w:szCs w:val="22"/>
        </w:rPr>
        <w:t xml:space="preserve"> the amount of </w:t>
      </w:r>
      <w:r w:rsidR="00670403">
        <w:rPr>
          <w:rFonts w:ascii="Arial" w:hAnsi="Arial" w:cs="Arial"/>
          <w:i w:val="0"/>
          <w:color w:val="000000"/>
          <w:sz w:val="22"/>
          <w:szCs w:val="22"/>
        </w:rPr>
        <w:t>naturally occurring i</w:t>
      </w:r>
      <w:r w:rsidR="00670403" w:rsidRPr="00FD51EC">
        <w:rPr>
          <w:rFonts w:ascii="Arial" w:hAnsi="Arial" w:cs="Arial"/>
          <w:i w:val="0"/>
          <w:color w:val="000000"/>
          <w:sz w:val="22"/>
          <w:szCs w:val="22"/>
        </w:rPr>
        <w:t xml:space="preserve">odine </w:t>
      </w:r>
      <w:r w:rsidR="00483CA5" w:rsidRPr="00FD51EC">
        <w:rPr>
          <w:rFonts w:ascii="Arial" w:hAnsi="Arial" w:cs="Arial"/>
          <w:i w:val="0"/>
          <w:color w:val="000000"/>
          <w:sz w:val="22"/>
          <w:szCs w:val="22"/>
        </w:rPr>
        <w:t>they contain</w:t>
      </w:r>
      <w:r w:rsidR="00831212">
        <w:rPr>
          <w:rFonts w:ascii="Arial" w:hAnsi="Arial" w:cs="Arial"/>
          <w:i w:val="0"/>
          <w:color w:val="000000"/>
          <w:sz w:val="22"/>
          <w:szCs w:val="22"/>
        </w:rPr>
        <w:t>ed</w:t>
      </w:r>
      <w:r w:rsidR="00483CA5" w:rsidRPr="00FD51EC">
        <w:rPr>
          <w:rFonts w:ascii="Arial" w:hAnsi="Arial" w:cs="Arial"/>
          <w:i w:val="0"/>
          <w:color w:val="000000"/>
          <w:sz w:val="22"/>
          <w:szCs w:val="22"/>
        </w:rPr>
        <w:t>.</w:t>
      </w:r>
      <w:r w:rsidRPr="00FD51EC">
        <w:rPr>
          <w:rFonts w:ascii="Arial" w:hAnsi="Arial" w:cs="Arial"/>
          <w:i w:val="0"/>
          <w:color w:val="000000"/>
          <w:sz w:val="22"/>
          <w:szCs w:val="22"/>
        </w:rPr>
        <w:t xml:space="preserve"> </w:t>
      </w:r>
    </w:p>
    <w:p w14:paraId="5D734856" w14:textId="77777777" w:rsidR="00483CA5" w:rsidRPr="00482B46" w:rsidRDefault="00482B46" w:rsidP="00D43F2C">
      <w:pPr>
        <w:pStyle w:val="Heading2"/>
      </w:pPr>
      <w:bookmarkStart w:id="12" w:name="_Toc430854501"/>
      <w:r w:rsidRPr="00482B46">
        <w:t>4</w:t>
      </w:r>
      <w:r w:rsidR="005707D1" w:rsidRPr="00482B46">
        <w:t>.1</w:t>
      </w:r>
      <w:r w:rsidR="005707D1" w:rsidRPr="00482B46">
        <w:tab/>
      </w:r>
      <w:r w:rsidR="00483CA5" w:rsidRPr="00482B46">
        <w:t>Analytical method</w:t>
      </w:r>
      <w:r w:rsidRPr="00482B46">
        <w:t xml:space="preserve"> used</w:t>
      </w:r>
      <w:bookmarkEnd w:id="12"/>
    </w:p>
    <w:p w14:paraId="5D734857" w14:textId="77777777" w:rsidR="00A717BD" w:rsidRPr="00FD51EC" w:rsidRDefault="00BD044E" w:rsidP="00D43F2C">
      <w:pPr>
        <w:spacing w:after="0"/>
        <w:rPr>
          <w:rFonts w:ascii="Arial" w:hAnsi="Arial" w:cs="Arial"/>
          <w:sz w:val="22"/>
        </w:rPr>
      </w:pPr>
      <w:r>
        <w:rPr>
          <w:rFonts w:ascii="Arial" w:hAnsi="Arial" w:cs="Arial"/>
          <w:sz w:val="22"/>
        </w:rPr>
        <w:t>I</w:t>
      </w:r>
      <w:r w:rsidR="004212A1" w:rsidRPr="00FD51EC">
        <w:rPr>
          <w:rFonts w:ascii="Arial" w:hAnsi="Arial" w:cs="Arial"/>
          <w:sz w:val="22"/>
        </w:rPr>
        <w:t>odine</w:t>
      </w:r>
      <w:r w:rsidR="00700D64" w:rsidRPr="00FD51EC">
        <w:rPr>
          <w:rFonts w:ascii="Arial" w:hAnsi="Arial" w:cs="Arial"/>
          <w:sz w:val="22"/>
        </w:rPr>
        <w:t xml:space="preserve"> </w:t>
      </w:r>
      <w:r>
        <w:rPr>
          <w:rFonts w:ascii="Arial" w:hAnsi="Arial" w:cs="Arial"/>
          <w:sz w:val="22"/>
        </w:rPr>
        <w:t>in</w:t>
      </w:r>
      <w:r w:rsidR="00700D64" w:rsidRPr="00FD51EC">
        <w:rPr>
          <w:rFonts w:ascii="Arial" w:hAnsi="Arial" w:cs="Arial"/>
          <w:sz w:val="22"/>
        </w:rPr>
        <w:t xml:space="preserve"> the bread samples</w:t>
      </w:r>
      <w:r>
        <w:rPr>
          <w:rFonts w:ascii="Arial" w:hAnsi="Arial" w:cs="Arial"/>
          <w:sz w:val="22"/>
        </w:rPr>
        <w:t xml:space="preserve"> was</w:t>
      </w:r>
      <w:r w:rsidRPr="00FD51EC">
        <w:rPr>
          <w:rFonts w:ascii="Arial" w:hAnsi="Arial" w:cs="Arial"/>
          <w:sz w:val="22"/>
        </w:rPr>
        <w:t xml:space="preserve"> </w:t>
      </w:r>
      <w:r>
        <w:rPr>
          <w:rFonts w:ascii="Arial" w:hAnsi="Arial" w:cs="Arial"/>
          <w:sz w:val="22"/>
        </w:rPr>
        <w:t>extracted using</w:t>
      </w:r>
      <w:r w:rsidR="004212A1" w:rsidRPr="00FD51EC">
        <w:rPr>
          <w:rFonts w:ascii="Arial" w:hAnsi="Arial" w:cs="Arial"/>
          <w:sz w:val="22"/>
        </w:rPr>
        <w:t xml:space="preserve"> </w:t>
      </w:r>
      <w:proofErr w:type="spellStart"/>
      <w:r w:rsidR="004212A1" w:rsidRPr="00FD51EC">
        <w:rPr>
          <w:rFonts w:ascii="Arial" w:hAnsi="Arial" w:cs="Arial"/>
          <w:sz w:val="22"/>
        </w:rPr>
        <w:t>tetramethyl</w:t>
      </w:r>
      <w:proofErr w:type="spellEnd"/>
      <w:r w:rsidR="004212A1" w:rsidRPr="00FD51EC">
        <w:rPr>
          <w:rFonts w:ascii="Arial" w:hAnsi="Arial" w:cs="Arial"/>
          <w:sz w:val="22"/>
        </w:rPr>
        <w:t>-ammonium hydroxide at elevated temperature. Following dilution and filtration, the iodine level in the extracted solutions</w:t>
      </w:r>
      <w:r w:rsidR="00483CA5" w:rsidRPr="00FD51EC">
        <w:rPr>
          <w:rFonts w:ascii="Arial" w:hAnsi="Arial" w:cs="Arial"/>
          <w:sz w:val="22"/>
        </w:rPr>
        <w:t xml:space="preserve"> w</w:t>
      </w:r>
      <w:r w:rsidR="004212A1" w:rsidRPr="00FD51EC">
        <w:rPr>
          <w:rFonts w:ascii="Arial" w:hAnsi="Arial" w:cs="Arial"/>
          <w:sz w:val="22"/>
        </w:rPr>
        <w:t xml:space="preserve">ere </w:t>
      </w:r>
      <w:r w:rsidR="00483CA5" w:rsidRPr="00FD51EC">
        <w:rPr>
          <w:rFonts w:ascii="Arial" w:hAnsi="Arial" w:cs="Arial"/>
          <w:sz w:val="22"/>
        </w:rPr>
        <w:t xml:space="preserve">determined by inductively coupled plasma-mass spectrometry (ICP-MS) using Agilent 7500CE. The analytical method </w:t>
      </w:r>
      <w:r w:rsidR="00700D64" w:rsidRPr="00FD51EC">
        <w:rPr>
          <w:rFonts w:ascii="Arial" w:hAnsi="Arial" w:cs="Arial"/>
          <w:sz w:val="22"/>
        </w:rPr>
        <w:t xml:space="preserve">used </w:t>
      </w:r>
      <w:r w:rsidR="00483CA5" w:rsidRPr="00FD51EC">
        <w:rPr>
          <w:rFonts w:ascii="Arial" w:hAnsi="Arial" w:cs="Arial"/>
          <w:sz w:val="22"/>
        </w:rPr>
        <w:t xml:space="preserve">is </w:t>
      </w:r>
      <w:r w:rsidR="004212A1" w:rsidRPr="00FD51EC">
        <w:rPr>
          <w:rFonts w:ascii="Arial" w:hAnsi="Arial" w:cs="Arial"/>
          <w:sz w:val="22"/>
        </w:rPr>
        <w:t xml:space="preserve">accredited by the </w:t>
      </w:r>
      <w:r w:rsidR="00483CA5" w:rsidRPr="00FD51EC">
        <w:rPr>
          <w:rFonts w:ascii="Arial" w:hAnsi="Arial" w:cs="Arial"/>
          <w:sz w:val="22"/>
        </w:rPr>
        <w:t>National Association of Testin</w:t>
      </w:r>
      <w:r w:rsidR="00360D5B" w:rsidRPr="00FD51EC">
        <w:rPr>
          <w:rFonts w:ascii="Arial" w:hAnsi="Arial" w:cs="Arial"/>
          <w:sz w:val="22"/>
        </w:rPr>
        <w:t>g Authorities, Australia (NATA)</w:t>
      </w:r>
      <w:r w:rsidR="004212A1" w:rsidRPr="00FD51EC">
        <w:rPr>
          <w:rFonts w:ascii="Arial" w:hAnsi="Arial" w:cs="Arial"/>
          <w:sz w:val="22"/>
        </w:rPr>
        <w:t xml:space="preserve">. </w:t>
      </w:r>
      <w:r w:rsidR="00F83506" w:rsidRPr="00FD51EC">
        <w:rPr>
          <w:rFonts w:ascii="Arial" w:hAnsi="Arial" w:cs="Arial"/>
          <w:sz w:val="22"/>
        </w:rPr>
        <w:t>The method used is recognised as va</w:t>
      </w:r>
      <w:r>
        <w:rPr>
          <w:rFonts w:ascii="Arial" w:hAnsi="Arial" w:cs="Arial"/>
          <w:sz w:val="22"/>
        </w:rPr>
        <w:t>lid and suitable for analysi</w:t>
      </w:r>
      <w:r w:rsidR="00F83506" w:rsidRPr="00FD51EC">
        <w:rPr>
          <w:rFonts w:ascii="Arial" w:hAnsi="Arial" w:cs="Arial"/>
          <w:sz w:val="22"/>
        </w:rPr>
        <w:t>s</w:t>
      </w:r>
      <w:r w:rsidR="00831212" w:rsidRPr="00831212">
        <w:rPr>
          <w:rFonts w:ascii="Arial" w:hAnsi="Arial" w:cs="Arial"/>
          <w:sz w:val="22"/>
        </w:rPr>
        <w:t xml:space="preserve"> </w:t>
      </w:r>
      <w:r w:rsidR="00831212">
        <w:rPr>
          <w:rFonts w:ascii="Arial" w:hAnsi="Arial" w:cs="Arial"/>
          <w:sz w:val="22"/>
        </w:rPr>
        <w:t>of iodine in food</w:t>
      </w:r>
      <w:r w:rsidR="00F83506" w:rsidRPr="00FD51EC">
        <w:rPr>
          <w:rFonts w:ascii="Arial" w:hAnsi="Arial" w:cs="Arial"/>
          <w:sz w:val="22"/>
        </w:rPr>
        <w:t>.</w:t>
      </w:r>
    </w:p>
    <w:p w14:paraId="5D734858" w14:textId="77777777" w:rsidR="00F83506" w:rsidRPr="00FD51EC" w:rsidRDefault="00F83506" w:rsidP="00D43F2C">
      <w:pPr>
        <w:spacing w:after="0"/>
        <w:rPr>
          <w:rFonts w:ascii="Arial" w:hAnsi="Arial" w:cs="Arial"/>
          <w:sz w:val="22"/>
        </w:rPr>
      </w:pPr>
    </w:p>
    <w:p w14:paraId="5D734859" w14:textId="77777777" w:rsidR="00A717BD" w:rsidRDefault="00700D64" w:rsidP="00D43F2C">
      <w:pPr>
        <w:spacing w:after="0"/>
        <w:rPr>
          <w:rFonts w:ascii="Arial" w:hAnsi="Arial" w:cs="Arial"/>
          <w:sz w:val="22"/>
        </w:rPr>
      </w:pPr>
      <w:r w:rsidRPr="00FD51EC">
        <w:rPr>
          <w:rFonts w:ascii="Arial" w:hAnsi="Arial" w:cs="Arial"/>
          <w:sz w:val="22"/>
        </w:rPr>
        <w:t xml:space="preserve">The </w:t>
      </w:r>
      <w:r w:rsidR="00BD044E" w:rsidRPr="00FD51EC">
        <w:rPr>
          <w:rFonts w:ascii="Arial" w:hAnsi="Arial" w:cs="Arial"/>
          <w:sz w:val="22"/>
        </w:rPr>
        <w:t xml:space="preserve">moisture content </w:t>
      </w:r>
      <w:r w:rsidR="00BD044E">
        <w:rPr>
          <w:rFonts w:ascii="Arial" w:hAnsi="Arial" w:cs="Arial"/>
          <w:sz w:val="22"/>
        </w:rPr>
        <w:t xml:space="preserve">of the bread </w:t>
      </w:r>
      <w:r w:rsidR="00BD044E" w:rsidRPr="00FD51EC">
        <w:rPr>
          <w:rFonts w:ascii="Arial" w:hAnsi="Arial" w:cs="Arial"/>
          <w:sz w:val="22"/>
        </w:rPr>
        <w:t>samples</w:t>
      </w:r>
      <w:r w:rsidR="00BD044E">
        <w:rPr>
          <w:rFonts w:ascii="Arial" w:hAnsi="Arial" w:cs="Arial"/>
          <w:sz w:val="22"/>
        </w:rPr>
        <w:t xml:space="preserve"> were also determined but whereas</w:t>
      </w:r>
      <w:r w:rsidR="00BD044E" w:rsidRPr="00FD51EC">
        <w:rPr>
          <w:rFonts w:ascii="Arial" w:hAnsi="Arial" w:cs="Arial"/>
          <w:sz w:val="22"/>
        </w:rPr>
        <w:t xml:space="preserve"> </w:t>
      </w:r>
      <w:r w:rsidRPr="00FD51EC">
        <w:rPr>
          <w:rFonts w:ascii="Arial" w:hAnsi="Arial" w:cs="Arial"/>
          <w:sz w:val="22"/>
        </w:rPr>
        <w:t xml:space="preserve">phase 1 and 3 </w:t>
      </w:r>
      <w:r w:rsidR="00BD044E">
        <w:rPr>
          <w:rFonts w:ascii="Arial" w:hAnsi="Arial" w:cs="Arial"/>
          <w:sz w:val="22"/>
        </w:rPr>
        <w:t xml:space="preserve">samples </w:t>
      </w:r>
      <w:r w:rsidR="00A717BD" w:rsidRPr="00FD51EC">
        <w:rPr>
          <w:rFonts w:ascii="Arial" w:hAnsi="Arial" w:cs="Arial"/>
          <w:sz w:val="22"/>
        </w:rPr>
        <w:t xml:space="preserve">were individually analysed for </w:t>
      </w:r>
      <w:r w:rsidR="00BD044E">
        <w:rPr>
          <w:rFonts w:ascii="Arial" w:hAnsi="Arial" w:cs="Arial"/>
          <w:sz w:val="22"/>
        </w:rPr>
        <w:t>their moisture content, phase 2 samples</w:t>
      </w:r>
      <w:r w:rsidRPr="00FD51EC">
        <w:rPr>
          <w:rFonts w:ascii="Arial" w:hAnsi="Arial" w:cs="Arial"/>
          <w:sz w:val="22"/>
        </w:rPr>
        <w:t xml:space="preserve"> had </w:t>
      </w:r>
      <w:r w:rsidR="00BD044E" w:rsidRPr="00FD51EC">
        <w:rPr>
          <w:rFonts w:ascii="Arial" w:hAnsi="Arial" w:cs="Arial"/>
          <w:sz w:val="22"/>
        </w:rPr>
        <w:t xml:space="preserve">moisture content </w:t>
      </w:r>
      <w:r w:rsidR="00BD044E">
        <w:rPr>
          <w:rFonts w:ascii="Arial" w:hAnsi="Arial" w:cs="Arial"/>
          <w:sz w:val="22"/>
        </w:rPr>
        <w:t xml:space="preserve">determined for </w:t>
      </w:r>
      <w:r w:rsidR="00A717BD" w:rsidRPr="00FD51EC">
        <w:rPr>
          <w:rFonts w:ascii="Arial" w:hAnsi="Arial" w:cs="Arial"/>
          <w:sz w:val="22"/>
        </w:rPr>
        <w:t>composite sample</w:t>
      </w:r>
      <w:r w:rsidRPr="00FD51EC">
        <w:rPr>
          <w:rFonts w:ascii="Arial" w:hAnsi="Arial" w:cs="Arial"/>
          <w:sz w:val="22"/>
        </w:rPr>
        <w:t>s</w:t>
      </w:r>
      <w:r w:rsidR="00BD044E">
        <w:rPr>
          <w:rFonts w:ascii="Arial" w:hAnsi="Arial" w:cs="Arial"/>
          <w:sz w:val="22"/>
        </w:rPr>
        <w:t xml:space="preserve"> of each bread type. Each composite consisted</w:t>
      </w:r>
      <w:r w:rsidRPr="00FD51EC">
        <w:rPr>
          <w:rFonts w:ascii="Arial" w:hAnsi="Arial" w:cs="Arial"/>
          <w:sz w:val="22"/>
        </w:rPr>
        <w:t xml:space="preserve"> of a </w:t>
      </w:r>
      <w:r w:rsidR="00831212">
        <w:rPr>
          <w:rFonts w:ascii="Arial" w:hAnsi="Arial" w:cs="Arial"/>
          <w:sz w:val="22"/>
        </w:rPr>
        <w:t xml:space="preserve">bread </w:t>
      </w:r>
      <w:r w:rsidR="00BD044E">
        <w:rPr>
          <w:rFonts w:ascii="Arial" w:hAnsi="Arial" w:cs="Arial"/>
          <w:sz w:val="22"/>
        </w:rPr>
        <w:t>sample from each jurisdiction</w:t>
      </w:r>
      <w:r w:rsidR="00A717BD" w:rsidRPr="00FD51EC">
        <w:rPr>
          <w:rFonts w:ascii="Arial" w:hAnsi="Arial" w:cs="Arial"/>
          <w:sz w:val="22"/>
        </w:rPr>
        <w:t xml:space="preserve">. </w:t>
      </w:r>
      <w:r w:rsidR="00F83506" w:rsidRPr="00FD51EC">
        <w:rPr>
          <w:rFonts w:ascii="Arial" w:hAnsi="Arial" w:cs="Arial"/>
          <w:sz w:val="22"/>
        </w:rPr>
        <w:t xml:space="preserve">Each </w:t>
      </w:r>
      <w:r w:rsidR="00BD044E">
        <w:rPr>
          <w:rFonts w:ascii="Arial" w:hAnsi="Arial" w:cs="Arial"/>
          <w:sz w:val="22"/>
        </w:rPr>
        <w:t>analysis</w:t>
      </w:r>
      <w:r w:rsidR="00F83506" w:rsidRPr="00FD51EC">
        <w:rPr>
          <w:rFonts w:ascii="Arial" w:hAnsi="Arial" w:cs="Arial"/>
          <w:sz w:val="22"/>
        </w:rPr>
        <w:t xml:space="preserve"> was </w:t>
      </w:r>
      <w:r w:rsidR="00BD044E">
        <w:rPr>
          <w:rFonts w:ascii="Arial" w:hAnsi="Arial" w:cs="Arial"/>
          <w:sz w:val="22"/>
        </w:rPr>
        <w:t>done</w:t>
      </w:r>
      <w:r w:rsidR="00F83506" w:rsidRPr="00FD51EC">
        <w:rPr>
          <w:rFonts w:ascii="Arial" w:hAnsi="Arial" w:cs="Arial"/>
          <w:sz w:val="22"/>
        </w:rPr>
        <w:t xml:space="preserve"> in duplicate.</w:t>
      </w:r>
    </w:p>
    <w:p w14:paraId="5D73485A" w14:textId="77777777" w:rsidR="005B59B6" w:rsidRPr="00FD51EC" w:rsidRDefault="005B59B6" w:rsidP="00D43F2C">
      <w:pPr>
        <w:spacing w:after="0"/>
        <w:rPr>
          <w:rFonts w:ascii="Arial" w:hAnsi="Arial" w:cs="Arial"/>
          <w:sz w:val="22"/>
        </w:rPr>
      </w:pPr>
    </w:p>
    <w:p w14:paraId="5D73485B" w14:textId="77777777" w:rsidR="00E81216" w:rsidRDefault="004212A1" w:rsidP="00D43F2C">
      <w:pPr>
        <w:spacing w:after="0"/>
        <w:rPr>
          <w:rFonts w:ascii="Arial" w:hAnsi="Arial" w:cs="Arial"/>
          <w:sz w:val="22"/>
        </w:rPr>
      </w:pPr>
      <w:r w:rsidRPr="00FD51EC">
        <w:rPr>
          <w:rFonts w:ascii="Arial" w:hAnsi="Arial" w:cs="Arial"/>
          <w:sz w:val="22"/>
        </w:rPr>
        <w:t xml:space="preserve">The limit of reporting (LOR) </w:t>
      </w:r>
      <w:r w:rsidR="00700D64" w:rsidRPr="00FD51EC">
        <w:rPr>
          <w:rFonts w:ascii="Arial" w:hAnsi="Arial" w:cs="Arial"/>
          <w:sz w:val="22"/>
        </w:rPr>
        <w:t>for the method wa</w:t>
      </w:r>
      <w:r w:rsidRPr="00FD51EC">
        <w:rPr>
          <w:rFonts w:ascii="Arial" w:hAnsi="Arial" w:cs="Arial"/>
          <w:sz w:val="22"/>
        </w:rPr>
        <w:t>s 0.01</w:t>
      </w:r>
      <w:r w:rsidR="0052631B">
        <w:rPr>
          <w:rFonts w:ascii="Arial" w:hAnsi="Arial" w:cs="Arial"/>
          <w:sz w:val="22"/>
        </w:rPr>
        <w:t xml:space="preserve"> </w:t>
      </w:r>
      <w:r w:rsidRPr="00FD51EC">
        <w:rPr>
          <w:rFonts w:ascii="Arial" w:hAnsi="Arial" w:cs="Arial"/>
          <w:sz w:val="22"/>
        </w:rPr>
        <w:t>mg/kg</w:t>
      </w:r>
      <w:r w:rsidR="00887632" w:rsidRPr="00FD51EC">
        <w:rPr>
          <w:rFonts w:ascii="Arial" w:hAnsi="Arial" w:cs="Arial"/>
          <w:sz w:val="22"/>
        </w:rPr>
        <w:t>.</w:t>
      </w:r>
      <w:r w:rsidRPr="00FD51EC">
        <w:rPr>
          <w:rFonts w:ascii="Arial" w:hAnsi="Arial" w:cs="Arial"/>
          <w:sz w:val="22"/>
        </w:rPr>
        <w:t xml:space="preserve"> </w:t>
      </w:r>
      <w:r w:rsidR="00700D64" w:rsidRPr="00FD51EC">
        <w:rPr>
          <w:rFonts w:ascii="Arial" w:hAnsi="Arial" w:cs="Arial"/>
          <w:sz w:val="22"/>
        </w:rPr>
        <w:t>Acceptable recovery was set at</w:t>
      </w:r>
      <w:r w:rsidR="00EB0BC3" w:rsidRPr="00FD51EC">
        <w:rPr>
          <w:rFonts w:ascii="Arial" w:hAnsi="Arial" w:cs="Arial"/>
          <w:sz w:val="22"/>
        </w:rPr>
        <w:t xml:space="preserve"> 80-120% and acceptable Relative Percent Difference (RPD) on duplicates </w:t>
      </w:r>
      <w:r w:rsidR="00700D64" w:rsidRPr="00FD51EC">
        <w:rPr>
          <w:rFonts w:ascii="Arial" w:hAnsi="Arial" w:cs="Arial"/>
          <w:sz w:val="22"/>
        </w:rPr>
        <w:t>at</w:t>
      </w:r>
      <w:r w:rsidR="00EB0BC3" w:rsidRPr="00FD51EC">
        <w:rPr>
          <w:rFonts w:ascii="Arial" w:hAnsi="Arial" w:cs="Arial"/>
          <w:sz w:val="22"/>
        </w:rPr>
        <w:t xml:space="preserve"> 38% </w:t>
      </w:r>
      <w:r w:rsidR="00700D64" w:rsidRPr="00FD51EC">
        <w:rPr>
          <w:rFonts w:ascii="Arial" w:hAnsi="Arial" w:cs="Arial"/>
          <w:sz w:val="22"/>
        </w:rPr>
        <w:t>for</w:t>
      </w:r>
      <w:r w:rsidR="00EB0BC3" w:rsidRPr="00FD51EC">
        <w:rPr>
          <w:rFonts w:ascii="Arial" w:hAnsi="Arial" w:cs="Arial"/>
          <w:sz w:val="22"/>
        </w:rPr>
        <w:t xml:space="preserve"> results</w:t>
      </w:r>
      <w:r w:rsidR="00700D64" w:rsidRPr="00FD51EC">
        <w:rPr>
          <w:rFonts w:ascii="Arial" w:hAnsi="Arial" w:cs="Arial"/>
          <w:sz w:val="22"/>
        </w:rPr>
        <w:t xml:space="preserve"> </w:t>
      </w:r>
      <w:r w:rsidR="00EB0BC3" w:rsidRPr="00FD51EC">
        <w:rPr>
          <w:rFonts w:ascii="Arial" w:hAnsi="Arial" w:cs="Arial"/>
          <w:sz w:val="22"/>
        </w:rPr>
        <w:t xml:space="preserve">&lt;10 times LOR and 24% </w:t>
      </w:r>
      <w:r w:rsidR="00700D64" w:rsidRPr="00FD51EC">
        <w:rPr>
          <w:rFonts w:ascii="Arial" w:hAnsi="Arial" w:cs="Arial"/>
          <w:sz w:val="22"/>
        </w:rPr>
        <w:t>for</w:t>
      </w:r>
      <w:r w:rsidR="00EB0BC3" w:rsidRPr="00FD51EC">
        <w:rPr>
          <w:rFonts w:ascii="Arial" w:hAnsi="Arial" w:cs="Arial"/>
          <w:sz w:val="22"/>
        </w:rPr>
        <w:t xml:space="preserve"> results &gt;10 times LOR. </w:t>
      </w:r>
      <w:r w:rsidR="00887632" w:rsidRPr="00FD51EC">
        <w:rPr>
          <w:rFonts w:ascii="Arial" w:hAnsi="Arial" w:cs="Arial"/>
          <w:sz w:val="22"/>
        </w:rPr>
        <w:t xml:space="preserve">The </w:t>
      </w:r>
      <w:r w:rsidR="00700D64" w:rsidRPr="00FD51EC">
        <w:rPr>
          <w:rFonts w:ascii="Arial" w:hAnsi="Arial" w:cs="Arial"/>
          <w:sz w:val="22"/>
        </w:rPr>
        <w:t>quality assurance</w:t>
      </w:r>
      <w:r w:rsidR="00887632" w:rsidRPr="00FD51EC">
        <w:rPr>
          <w:rFonts w:ascii="Arial" w:hAnsi="Arial" w:cs="Arial"/>
          <w:sz w:val="22"/>
        </w:rPr>
        <w:t xml:space="preserve"> protocols per </w:t>
      </w:r>
      <w:r w:rsidR="00700D64" w:rsidRPr="00FD51EC">
        <w:rPr>
          <w:rFonts w:ascii="Arial" w:hAnsi="Arial" w:cs="Arial"/>
          <w:sz w:val="22"/>
        </w:rPr>
        <w:t xml:space="preserve">sample </w:t>
      </w:r>
      <w:r w:rsidR="00887632" w:rsidRPr="00FD51EC">
        <w:rPr>
          <w:rFonts w:ascii="Arial" w:hAnsi="Arial" w:cs="Arial"/>
          <w:sz w:val="22"/>
        </w:rPr>
        <w:t>batch include</w:t>
      </w:r>
      <w:r w:rsidR="00700D64" w:rsidRPr="00FD51EC">
        <w:rPr>
          <w:rFonts w:ascii="Arial" w:hAnsi="Arial" w:cs="Arial"/>
          <w:sz w:val="22"/>
        </w:rPr>
        <w:t>d</w:t>
      </w:r>
      <w:r w:rsidR="00887632" w:rsidRPr="00FD51EC">
        <w:rPr>
          <w:rFonts w:ascii="Arial" w:hAnsi="Arial" w:cs="Arial"/>
          <w:sz w:val="22"/>
        </w:rPr>
        <w:t xml:space="preserve"> one blank </w:t>
      </w:r>
      <w:r w:rsidR="00A717BD" w:rsidRPr="00FD51EC">
        <w:rPr>
          <w:rFonts w:ascii="Arial" w:hAnsi="Arial" w:cs="Arial"/>
          <w:sz w:val="22"/>
        </w:rPr>
        <w:t xml:space="preserve">for </w:t>
      </w:r>
      <w:r w:rsidR="00887632" w:rsidRPr="00FD51EC">
        <w:rPr>
          <w:rFonts w:ascii="Arial" w:hAnsi="Arial" w:cs="Arial"/>
          <w:sz w:val="22"/>
        </w:rPr>
        <w:t xml:space="preserve">every 20 samples with a minimum of 2 blanks per batch </w:t>
      </w:r>
      <w:r w:rsidR="00887632" w:rsidRPr="00FD51EC">
        <w:rPr>
          <w:rFonts w:ascii="Arial" w:hAnsi="Arial" w:cs="Arial"/>
          <w:sz w:val="22"/>
        </w:rPr>
        <w:lastRenderedPageBreak/>
        <w:t>and one sample reference material (SRM) every batch. One sample spike and one blank spike every 20 samples.</w:t>
      </w:r>
      <w:r w:rsidR="00EB0BC3" w:rsidRPr="00FD51EC">
        <w:rPr>
          <w:rFonts w:ascii="Arial" w:hAnsi="Arial" w:cs="Arial"/>
          <w:sz w:val="22"/>
        </w:rPr>
        <w:t xml:space="preserve"> </w:t>
      </w:r>
    </w:p>
    <w:p w14:paraId="5D73485C" w14:textId="77777777" w:rsidR="002B4FC8" w:rsidRDefault="002B4FC8" w:rsidP="00D43F2C">
      <w:pPr>
        <w:spacing w:after="0"/>
        <w:rPr>
          <w:rFonts w:ascii="Arial" w:hAnsi="Arial" w:cs="Arial"/>
          <w:sz w:val="22"/>
        </w:rPr>
      </w:pPr>
    </w:p>
    <w:p w14:paraId="5D73485D" w14:textId="77777777" w:rsidR="0004376A" w:rsidRPr="00C114E5" w:rsidRDefault="0004376A" w:rsidP="00D43F2C">
      <w:pPr>
        <w:spacing w:after="0"/>
        <w:rPr>
          <w:rFonts w:ascii="Arial" w:hAnsi="Arial" w:cs="Arial"/>
          <w:sz w:val="22"/>
        </w:rPr>
      </w:pPr>
    </w:p>
    <w:p w14:paraId="5D73485E" w14:textId="77777777" w:rsidR="003628C6" w:rsidRPr="00EF198C" w:rsidRDefault="00482B46" w:rsidP="00CC5193">
      <w:pPr>
        <w:pStyle w:val="Heading1"/>
        <w:spacing w:after="200"/>
        <w:ind w:left="0" w:firstLine="0"/>
        <w:rPr>
          <w:rFonts w:ascii="Arial" w:hAnsi="Arial" w:cs="Arial"/>
          <w:sz w:val="24"/>
          <w:szCs w:val="24"/>
        </w:rPr>
      </w:pPr>
      <w:bookmarkStart w:id="13" w:name="_Toc430854502"/>
      <w:r w:rsidRPr="00EF198C">
        <w:rPr>
          <w:rFonts w:ascii="Arial" w:hAnsi="Arial" w:cs="Arial"/>
          <w:sz w:val="24"/>
          <w:szCs w:val="24"/>
        </w:rPr>
        <w:t>5</w:t>
      </w:r>
      <w:r w:rsidR="005707D1" w:rsidRPr="00EF198C">
        <w:rPr>
          <w:rFonts w:ascii="Arial" w:hAnsi="Arial" w:cs="Arial"/>
          <w:sz w:val="24"/>
          <w:szCs w:val="24"/>
        </w:rPr>
        <w:t>.0</w:t>
      </w:r>
      <w:r w:rsidR="005707D1" w:rsidRPr="00EF198C">
        <w:rPr>
          <w:rFonts w:ascii="Arial" w:hAnsi="Arial" w:cs="Arial"/>
          <w:sz w:val="24"/>
          <w:szCs w:val="24"/>
        </w:rPr>
        <w:tab/>
      </w:r>
      <w:r w:rsidR="001E0D34" w:rsidRPr="00EF198C">
        <w:rPr>
          <w:rFonts w:ascii="Arial" w:hAnsi="Arial" w:cs="Arial"/>
          <w:sz w:val="24"/>
          <w:szCs w:val="24"/>
        </w:rPr>
        <w:tab/>
      </w:r>
      <w:r w:rsidR="00EA608D" w:rsidRPr="00EF198C">
        <w:rPr>
          <w:rFonts w:ascii="Arial" w:hAnsi="Arial" w:cs="Arial"/>
          <w:sz w:val="24"/>
          <w:szCs w:val="24"/>
        </w:rPr>
        <w:t>S</w:t>
      </w:r>
      <w:r w:rsidR="003B584E" w:rsidRPr="00EF198C">
        <w:rPr>
          <w:rFonts w:ascii="Arial" w:hAnsi="Arial" w:cs="Arial"/>
          <w:sz w:val="24"/>
          <w:szCs w:val="24"/>
        </w:rPr>
        <w:t>urvey</w:t>
      </w:r>
      <w:r w:rsidR="00EA608D" w:rsidRPr="00EF198C">
        <w:rPr>
          <w:rFonts w:ascii="Arial" w:hAnsi="Arial" w:cs="Arial"/>
          <w:sz w:val="24"/>
          <w:szCs w:val="24"/>
        </w:rPr>
        <w:t xml:space="preserve"> </w:t>
      </w:r>
      <w:r w:rsidR="003B584E" w:rsidRPr="00EF198C">
        <w:rPr>
          <w:rFonts w:ascii="Arial" w:hAnsi="Arial" w:cs="Arial"/>
          <w:sz w:val="24"/>
          <w:szCs w:val="24"/>
        </w:rPr>
        <w:t>results – Post-</w:t>
      </w:r>
      <w:r w:rsidR="00D95012" w:rsidRPr="00EF198C">
        <w:rPr>
          <w:rFonts w:ascii="Arial" w:hAnsi="Arial" w:cs="Arial"/>
          <w:sz w:val="24"/>
          <w:szCs w:val="24"/>
        </w:rPr>
        <w:t>fortification amounts of iodine in breads</w:t>
      </w:r>
      <w:bookmarkEnd w:id="13"/>
    </w:p>
    <w:p w14:paraId="5D73485F" w14:textId="77777777" w:rsidR="00F73E7F" w:rsidRDefault="003628C6" w:rsidP="00AA4AE8">
      <w:pPr>
        <w:rPr>
          <w:rFonts w:ascii="Arial" w:hAnsi="Arial" w:cs="Arial"/>
          <w:sz w:val="22"/>
        </w:rPr>
      </w:pPr>
      <w:r w:rsidRPr="00FD51EC">
        <w:rPr>
          <w:rFonts w:ascii="Arial" w:hAnsi="Arial" w:cs="Arial"/>
          <w:sz w:val="22"/>
        </w:rPr>
        <w:t xml:space="preserve">The </w:t>
      </w:r>
      <w:r w:rsidR="00B20978" w:rsidRPr="00FD51EC">
        <w:rPr>
          <w:rFonts w:ascii="Arial" w:hAnsi="Arial" w:cs="Arial"/>
          <w:sz w:val="22"/>
        </w:rPr>
        <w:t xml:space="preserve">summary </w:t>
      </w:r>
      <w:r w:rsidR="00707B51" w:rsidRPr="00FD51EC">
        <w:rPr>
          <w:rFonts w:ascii="Arial" w:hAnsi="Arial" w:cs="Arial"/>
          <w:sz w:val="22"/>
        </w:rPr>
        <w:t xml:space="preserve">of the </w:t>
      </w:r>
      <w:r w:rsidRPr="00FD51EC">
        <w:rPr>
          <w:rFonts w:ascii="Arial" w:hAnsi="Arial" w:cs="Arial"/>
          <w:sz w:val="22"/>
        </w:rPr>
        <w:t xml:space="preserve">analytical results </w:t>
      </w:r>
      <w:r w:rsidR="00707B51" w:rsidRPr="00FD51EC">
        <w:rPr>
          <w:rFonts w:ascii="Arial" w:hAnsi="Arial" w:cs="Arial"/>
          <w:sz w:val="22"/>
        </w:rPr>
        <w:t>for all three phases of the brea</w:t>
      </w:r>
      <w:r w:rsidR="009B2F41">
        <w:rPr>
          <w:rFonts w:ascii="Arial" w:hAnsi="Arial" w:cs="Arial"/>
          <w:sz w:val="22"/>
        </w:rPr>
        <w:t>d survey are shown in Table 1</w:t>
      </w:r>
      <w:r w:rsidR="00707B51" w:rsidRPr="00FD51EC">
        <w:rPr>
          <w:rFonts w:ascii="Arial" w:hAnsi="Arial" w:cs="Arial"/>
          <w:sz w:val="22"/>
        </w:rPr>
        <w:t xml:space="preserve">. </w:t>
      </w:r>
      <w:r w:rsidR="00F10BED" w:rsidRPr="00FD51EC">
        <w:rPr>
          <w:rFonts w:ascii="Arial" w:hAnsi="Arial" w:cs="Arial"/>
          <w:sz w:val="22"/>
        </w:rPr>
        <w:t xml:space="preserve">The mean, minimum and maximum amounts of iodine measured in white, wholemeal and multigrain &amp; seeds breads (the three main bread </w:t>
      </w:r>
      <w:r w:rsidR="00866558">
        <w:rPr>
          <w:rFonts w:ascii="Arial" w:hAnsi="Arial" w:cs="Arial"/>
          <w:sz w:val="22"/>
        </w:rPr>
        <w:t>types</w:t>
      </w:r>
      <w:r w:rsidR="00704C5D">
        <w:rPr>
          <w:rFonts w:ascii="Arial" w:hAnsi="Arial" w:cs="Arial"/>
          <w:sz w:val="22"/>
        </w:rPr>
        <w:t>) for each survey</w:t>
      </w:r>
      <w:r w:rsidR="00F10BED" w:rsidRPr="00FD51EC">
        <w:rPr>
          <w:rFonts w:ascii="Arial" w:hAnsi="Arial" w:cs="Arial"/>
          <w:sz w:val="22"/>
        </w:rPr>
        <w:t xml:space="preserve"> are </w:t>
      </w:r>
      <w:r w:rsidR="00553276" w:rsidRPr="00FD51EC">
        <w:rPr>
          <w:rFonts w:ascii="Arial" w:hAnsi="Arial" w:cs="Arial"/>
          <w:sz w:val="22"/>
        </w:rPr>
        <w:t xml:space="preserve">shown </w:t>
      </w:r>
      <w:r w:rsidR="00F10BED" w:rsidRPr="00FD51EC">
        <w:rPr>
          <w:rFonts w:ascii="Arial" w:hAnsi="Arial" w:cs="Arial"/>
          <w:sz w:val="22"/>
        </w:rPr>
        <w:t xml:space="preserve">separately. </w:t>
      </w:r>
      <w:r w:rsidR="00892542" w:rsidRPr="00FD51EC">
        <w:rPr>
          <w:rFonts w:ascii="Arial" w:hAnsi="Arial" w:cs="Arial"/>
          <w:sz w:val="22"/>
        </w:rPr>
        <w:t xml:space="preserve">The iodine results provided by the laboratory for the bread samples are on as purchased weight basis, although the samples were dried for the analysis. </w:t>
      </w:r>
      <w:r w:rsidR="00F10BED" w:rsidRPr="00FD51EC">
        <w:rPr>
          <w:rFonts w:ascii="Arial" w:hAnsi="Arial" w:cs="Arial"/>
          <w:sz w:val="22"/>
        </w:rPr>
        <w:t>The results</w:t>
      </w:r>
      <w:r w:rsidR="00892542">
        <w:rPr>
          <w:rFonts w:ascii="Arial" w:hAnsi="Arial" w:cs="Arial"/>
          <w:sz w:val="22"/>
        </w:rPr>
        <w:t xml:space="preserve"> showed</w:t>
      </w:r>
      <w:r w:rsidRPr="00FD51EC">
        <w:rPr>
          <w:rFonts w:ascii="Arial" w:hAnsi="Arial" w:cs="Arial"/>
          <w:sz w:val="22"/>
        </w:rPr>
        <w:t xml:space="preserve"> </w:t>
      </w:r>
      <w:r w:rsidR="00F10BED" w:rsidRPr="00FD51EC">
        <w:rPr>
          <w:rFonts w:ascii="Arial" w:hAnsi="Arial" w:cs="Arial"/>
          <w:sz w:val="22"/>
        </w:rPr>
        <w:t>all the bread samples from the different sampling periods contain levels of iodin</w:t>
      </w:r>
      <w:r w:rsidR="00892542">
        <w:rPr>
          <w:rFonts w:ascii="Arial" w:hAnsi="Arial" w:cs="Arial"/>
          <w:sz w:val="22"/>
        </w:rPr>
        <w:t>e that indicate iodised salt had</w:t>
      </w:r>
      <w:r w:rsidR="00F10BED" w:rsidRPr="00FD51EC">
        <w:rPr>
          <w:rFonts w:ascii="Arial" w:hAnsi="Arial" w:cs="Arial"/>
          <w:sz w:val="22"/>
        </w:rPr>
        <w:t xml:space="preserve"> been used</w:t>
      </w:r>
      <w:r w:rsidR="00704C5D">
        <w:rPr>
          <w:rFonts w:ascii="Arial" w:hAnsi="Arial" w:cs="Arial"/>
          <w:sz w:val="22"/>
        </w:rPr>
        <w:t>.</w:t>
      </w:r>
      <w:r w:rsidR="00F10BED" w:rsidRPr="00FD51EC">
        <w:rPr>
          <w:rFonts w:ascii="Arial" w:hAnsi="Arial" w:cs="Arial"/>
          <w:sz w:val="22"/>
        </w:rPr>
        <w:t xml:space="preserve"> </w:t>
      </w:r>
      <w:r w:rsidR="009B2F41">
        <w:rPr>
          <w:rFonts w:ascii="Arial" w:hAnsi="Arial" w:cs="Arial"/>
          <w:sz w:val="22"/>
        </w:rPr>
        <w:t>Table 2</w:t>
      </w:r>
      <w:r w:rsidR="004B05C0" w:rsidRPr="00FD51EC">
        <w:rPr>
          <w:rFonts w:ascii="Arial" w:hAnsi="Arial" w:cs="Arial"/>
          <w:sz w:val="22"/>
        </w:rPr>
        <w:t xml:space="preserve"> shows the iodine levels </w:t>
      </w:r>
      <w:r w:rsidR="00892542">
        <w:rPr>
          <w:rFonts w:ascii="Arial" w:hAnsi="Arial" w:cs="Arial"/>
          <w:sz w:val="22"/>
        </w:rPr>
        <w:t>of</w:t>
      </w:r>
      <w:r w:rsidR="004B05C0" w:rsidRPr="00FD51EC">
        <w:rPr>
          <w:rFonts w:ascii="Arial" w:hAnsi="Arial" w:cs="Arial"/>
          <w:sz w:val="22"/>
        </w:rPr>
        <w:t xml:space="preserve"> the four unfortified</w:t>
      </w:r>
      <w:r w:rsidR="004B05C0">
        <w:rPr>
          <w:rFonts w:ascii="Arial" w:hAnsi="Arial" w:cs="Arial"/>
          <w:sz w:val="22"/>
        </w:rPr>
        <w:t>*</w:t>
      </w:r>
      <w:r w:rsidR="004B05C0" w:rsidRPr="00FD51EC">
        <w:rPr>
          <w:rFonts w:ascii="Arial" w:hAnsi="Arial" w:cs="Arial"/>
          <w:sz w:val="22"/>
        </w:rPr>
        <w:t xml:space="preserve"> bread samples baked by FSANZ </w:t>
      </w:r>
      <w:r w:rsidR="00AA4AE8">
        <w:rPr>
          <w:rFonts w:ascii="Arial" w:hAnsi="Arial" w:cs="Arial"/>
          <w:sz w:val="22"/>
        </w:rPr>
        <w:t>and indicate the amounts that would have been present if fortified wheat flour had not been used, hence these results served as a baseline for iodine in bread.</w:t>
      </w:r>
    </w:p>
    <w:p w14:paraId="5D734860" w14:textId="786328BA" w:rsidR="00214DCA" w:rsidRDefault="00B919E0" w:rsidP="00B919E0">
      <w:pPr>
        <w:pStyle w:val="Caption"/>
      </w:pPr>
      <w:bookmarkStart w:id="14" w:name="_Toc430856497"/>
      <w:r>
        <w:t xml:space="preserve">Table </w:t>
      </w:r>
      <w:r w:rsidR="001E1660">
        <w:fldChar w:fldCharType="begin"/>
      </w:r>
      <w:r w:rsidR="001E1660">
        <w:instrText xml:space="preserve"> SEQ Table \* ARABIC </w:instrText>
      </w:r>
      <w:r w:rsidR="001E1660">
        <w:fldChar w:fldCharType="separate"/>
      </w:r>
      <w:r w:rsidR="00A41217">
        <w:rPr>
          <w:noProof/>
        </w:rPr>
        <w:t>1</w:t>
      </w:r>
      <w:r w:rsidR="001E1660">
        <w:rPr>
          <w:noProof/>
        </w:rPr>
        <w:fldChar w:fldCharType="end"/>
      </w:r>
      <w:r>
        <w:t>: Summary data all surveys - amount of analysed iodine in the bread samples</w:t>
      </w:r>
      <w:bookmarkEnd w:id="14"/>
      <w:r>
        <w:t xml:space="preserve"> </w:t>
      </w:r>
    </w:p>
    <w:p w14:paraId="0F1E5A70" w14:textId="77777777" w:rsidR="00B919E0" w:rsidRPr="00B919E0" w:rsidRDefault="00B919E0" w:rsidP="00B919E0">
      <w:pPr>
        <w:spacing w:after="0"/>
        <w:rPr>
          <w:lang w:val="en-AU" w:eastAsia="en-AU"/>
        </w:rPr>
      </w:pPr>
    </w:p>
    <w:tbl>
      <w:tblPr>
        <w:tblStyle w:val="LightShading"/>
        <w:tblW w:w="9661" w:type="dxa"/>
        <w:tblLook w:val="06A0" w:firstRow="1" w:lastRow="0" w:firstColumn="1" w:lastColumn="0" w:noHBand="1" w:noVBand="1"/>
        <w:tblCaption w:val="Table 1: Summary data all surveys - amount of analysed iodine in the bread samples "/>
      </w:tblPr>
      <w:tblGrid>
        <w:gridCol w:w="1470"/>
        <w:gridCol w:w="2048"/>
        <w:gridCol w:w="1017"/>
        <w:gridCol w:w="909"/>
        <w:gridCol w:w="705"/>
        <w:gridCol w:w="665"/>
        <w:gridCol w:w="1117"/>
        <w:gridCol w:w="1730"/>
      </w:tblGrid>
      <w:tr w:rsidR="00AC3A70" w:rsidRPr="00F475F8" w14:paraId="5D73486B" w14:textId="77777777" w:rsidTr="006059FC">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1470" w:type="dxa"/>
            <w:vMerge w:val="restart"/>
            <w:tcBorders>
              <w:bottom w:val="single" w:sz="4" w:space="0" w:color="auto"/>
            </w:tcBorders>
            <w:noWrap/>
            <w:hideMark/>
          </w:tcPr>
          <w:p w14:paraId="5D734861" w14:textId="77777777" w:rsidR="00460D0A" w:rsidRPr="00F475F8" w:rsidRDefault="00460D0A" w:rsidP="00D43F2C">
            <w:pPr>
              <w:keepNext/>
              <w:rPr>
                <w:rFonts w:ascii="Arial" w:hAnsi="Arial" w:cs="Arial"/>
                <w:bCs w:val="0"/>
                <w:sz w:val="20"/>
                <w:szCs w:val="20"/>
              </w:rPr>
            </w:pPr>
          </w:p>
          <w:p w14:paraId="5D734862" w14:textId="77777777" w:rsidR="002551DA" w:rsidRPr="00F475F8" w:rsidRDefault="002551DA" w:rsidP="00D43F2C">
            <w:pPr>
              <w:keepNext/>
              <w:rPr>
                <w:rFonts w:ascii="Arial" w:hAnsi="Arial" w:cs="Arial"/>
                <w:sz w:val="20"/>
                <w:szCs w:val="20"/>
              </w:rPr>
            </w:pPr>
            <w:r w:rsidRPr="00F475F8">
              <w:rPr>
                <w:rFonts w:ascii="Arial" w:hAnsi="Arial" w:cs="Arial"/>
                <w:bCs w:val="0"/>
                <w:sz w:val="20"/>
                <w:szCs w:val="20"/>
              </w:rPr>
              <w:t xml:space="preserve">Bread </w:t>
            </w:r>
            <w:r w:rsidR="002754F2" w:rsidRPr="00F475F8">
              <w:rPr>
                <w:rFonts w:ascii="Arial" w:hAnsi="Arial" w:cs="Arial"/>
                <w:bCs w:val="0"/>
                <w:sz w:val="20"/>
                <w:szCs w:val="20"/>
              </w:rPr>
              <w:t>Type</w:t>
            </w:r>
          </w:p>
        </w:tc>
        <w:tc>
          <w:tcPr>
            <w:tcW w:w="2048" w:type="dxa"/>
            <w:vMerge w:val="restart"/>
            <w:tcBorders>
              <w:bottom w:val="single" w:sz="4" w:space="0" w:color="auto"/>
            </w:tcBorders>
            <w:noWrap/>
            <w:hideMark/>
          </w:tcPr>
          <w:p w14:paraId="5D734863" w14:textId="77777777" w:rsidR="00460D0A" w:rsidRPr="00F475F8" w:rsidRDefault="00460D0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p w14:paraId="5D734864"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bCs w:val="0"/>
                <w:sz w:val="20"/>
                <w:szCs w:val="20"/>
              </w:rPr>
              <w:t>Bread Fortification Monitoring Program</w:t>
            </w:r>
          </w:p>
        </w:tc>
        <w:tc>
          <w:tcPr>
            <w:tcW w:w="979" w:type="dxa"/>
            <w:vMerge w:val="restart"/>
            <w:tcBorders>
              <w:bottom w:val="single" w:sz="4" w:space="0" w:color="auto"/>
            </w:tcBorders>
            <w:noWrap/>
            <w:hideMark/>
          </w:tcPr>
          <w:p w14:paraId="5D734865"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bCs w:val="0"/>
                <w:sz w:val="20"/>
                <w:szCs w:val="20"/>
              </w:rPr>
              <w:t>No. of samples</w:t>
            </w:r>
          </w:p>
        </w:tc>
        <w:tc>
          <w:tcPr>
            <w:tcW w:w="2279" w:type="dxa"/>
            <w:gridSpan w:val="3"/>
            <w:tcBorders>
              <w:bottom w:val="nil"/>
            </w:tcBorders>
            <w:noWrap/>
            <w:hideMark/>
          </w:tcPr>
          <w:p w14:paraId="5D734866" w14:textId="77777777" w:rsidR="002551DA" w:rsidRPr="00F475F8" w:rsidRDefault="00412CE9" w:rsidP="00D43F2C">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475F8">
              <w:rPr>
                <w:rFonts w:ascii="Arial" w:hAnsi="Arial" w:cs="Arial"/>
                <w:bCs w:val="0"/>
                <w:sz w:val="20"/>
                <w:szCs w:val="20"/>
              </w:rPr>
              <w:t>Iodine (µg/100</w:t>
            </w:r>
            <w:r w:rsidR="002551DA" w:rsidRPr="00F475F8">
              <w:rPr>
                <w:rFonts w:ascii="Arial" w:hAnsi="Arial" w:cs="Arial"/>
                <w:bCs w:val="0"/>
                <w:sz w:val="20"/>
                <w:szCs w:val="20"/>
              </w:rPr>
              <w:t>g)</w:t>
            </w:r>
          </w:p>
        </w:tc>
        <w:tc>
          <w:tcPr>
            <w:tcW w:w="1070" w:type="dxa"/>
            <w:vMerge w:val="restart"/>
            <w:tcBorders>
              <w:bottom w:val="single" w:sz="4" w:space="0" w:color="auto"/>
            </w:tcBorders>
            <w:noWrap/>
            <w:hideMark/>
          </w:tcPr>
          <w:p w14:paraId="5D734867" w14:textId="77777777" w:rsidR="00460D0A" w:rsidRPr="00F475F8" w:rsidRDefault="00460D0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p w14:paraId="5D734868"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bCs w:val="0"/>
                <w:sz w:val="20"/>
                <w:szCs w:val="20"/>
              </w:rPr>
              <w:t>Standard Deviation</w:t>
            </w:r>
          </w:p>
        </w:tc>
        <w:tc>
          <w:tcPr>
            <w:tcW w:w="1815" w:type="dxa"/>
            <w:vMerge w:val="restart"/>
            <w:tcBorders>
              <w:bottom w:val="single" w:sz="4" w:space="0" w:color="auto"/>
            </w:tcBorders>
          </w:tcPr>
          <w:p w14:paraId="5D734869" w14:textId="77777777" w:rsidR="00460D0A" w:rsidRPr="00F475F8" w:rsidRDefault="00460D0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5D73486A"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Mean</w:t>
            </w:r>
            <w:r w:rsidR="00AC3A70" w:rsidRPr="00F475F8">
              <w:rPr>
                <w:rFonts w:ascii="Arial" w:hAnsi="Arial" w:cs="Arial"/>
                <w:sz w:val="20"/>
                <w:szCs w:val="20"/>
              </w:rPr>
              <w:t xml:space="preserve"> </w:t>
            </w:r>
            <w:r w:rsidRPr="00F475F8">
              <w:rPr>
                <w:rFonts w:ascii="Arial" w:hAnsi="Arial" w:cs="Arial"/>
                <w:sz w:val="20"/>
                <w:szCs w:val="20"/>
              </w:rPr>
              <w:t>Moisture Content</w:t>
            </w:r>
            <w:r w:rsidR="00460D0A" w:rsidRPr="00F475F8">
              <w:rPr>
                <w:rFonts w:ascii="Arial" w:hAnsi="Arial" w:cs="Arial"/>
                <w:sz w:val="20"/>
                <w:szCs w:val="20"/>
              </w:rPr>
              <w:t xml:space="preserve"> </w:t>
            </w:r>
            <w:r w:rsidRPr="00F475F8">
              <w:rPr>
                <w:rFonts w:ascii="Arial" w:hAnsi="Arial" w:cs="Arial"/>
                <w:sz w:val="20"/>
                <w:szCs w:val="20"/>
              </w:rPr>
              <w:t>(g/100g)</w:t>
            </w:r>
          </w:p>
        </w:tc>
      </w:tr>
      <w:tr w:rsidR="00AC3A70" w:rsidRPr="00F475F8" w14:paraId="5D734874" w14:textId="77777777" w:rsidTr="006059FC">
        <w:trPr>
          <w:cnfStyle w:val="100000000000" w:firstRow="1" w:lastRow="0" w:firstColumn="0" w:lastColumn="0" w:oddVBand="0" w:evenVBand="0" w:oddHBand="0" w:evenHBand="0" w:firstRowFirstColumn="0" w:firstRowLastColumn="0" w:lastRowFirstColumn="0" w:lastRowLastColumn="0"/>
          <w:trHeight w:val="213"/>
          <w:tblHeader/>
        </w:trPr>
        <w:tc>
          <w:tcPr>
            <w:cnfStyle w:val="001000000000" w:firstRow="0" w:lastRow="0" w:firstColumn="1" w:lastColumn="0" w:oddVBand="0" w:evenVBand="0" w:oddHBand="0" w:evenHBand="0" w:firstRowFirstColumn="0" w:firstRowLastColumn="0" w:lastRowFirstColumn="0" w:lastRowLastColumn="0"/>
            <w:tcW w:w="1470" w:type="dxa"/>
            <w:vMerge/>
            <w:tcBorders>
              <w:top w:val="nil"/>
              <w:bottom w:val="single" w:sz="4" w:space="0" w:color="auto"/>
            </w:tcBorders>
            <w:hideMark/>
          </w:tcPr>
          <w:p w14:paraId="5D73486C" w14:textId="77777777" w:rsidR="002551DA" w:rsidRPr="00F475F8" w:rsidRDefault="002551DA" w:rsidP="00D43F2C">
            <w:pPr>
              <w:keepNext/>
              <w:rPr>
                <w:rFonts w:ascii="Arial" w:hAnsi="Arial" w:cs="Arial"/>
                <w:b w:val="0"/>
                <w:bCs w:val="0"/>
                <w:sz w:val="20"/>
                <w:szCs w:val="20"/>
              </w:rPr>
            </w:pPr>
          </w:p>
        </w:tc>
        <w:tc>
          <w:tcPr>
            <w:tcW w:w="2048" w:type="dxa"/>
            <w:vMerge/>
            <w:tcBorders>
              <w:top w:val="nil"/>
              <w:bottom w:val="single" w:sz="4" w:space="0" w:color="auto"/>
            </w:tcBorders>
            <w:hideMark/>
          </w:tcPr>
          <w:p w14:paraId="5D73486D"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979" w:type="dxa"/>
            <w:vMerge/>
            <w:tcBorders>
              <w:top w:val="nil"/>
              <w:bottom w:val="single" w:sz="4" w:space="0" w:color="auto"/>
            </w:tcBorders>
            <w:hideMark/>
          </w:tcPr>
          <w:p w14:paraId="5D73486E"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909" w:type="dxa"/>
            <w:tcBorders>
              <w:top w:val="nil"/>
              <w:bottom w:val="single" w:sz="4" w:space="0" w:color="auto"/>
            </w:tcBorders>
            <w:noWrap/>
            <w:hideMark/>
          </w:tcPr>
          <w:p w14:paraId="5D73486F"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475F8">
              <w:rPr>
                <w:rFonts w:ascii="Arial" w:hAnsi="Arial" w:cs="Arial"/>
                <w:sz w:val="20"/>
                <w:szCs w:val="20"/>
              </w:rPr>
              <w:t>Mean</w:t>
            </w:r>
          </w:p>
        </w:tc>
        <w:tc>
          <w:tcPr>
            <w:tcW w:w="705" w:type="dxa"/>
            <w:tcBorders>
              <w:top w:val="nil"/>
              <w:bottom w:val="single" w:sz="4" w:space="0" w:color="auto"/>
            </w:tcBorders>
            <w:noWrap/>
            <w:hideMark/>
          </w:tcPr>
          <w:p w14:paraId="5D734870"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475F8">
              <w:rPr>
                <w:rFonts w:ascii="Arial" w:hAnsi="Arial" w:cs="Arial"/>
                <w:sz w:val="20"/>
                <w:szCs w:val="20"/>
              </w:rPr>
              <w:t>Min</w:t>
            </w:r>
          </w:p>
        </w:tc>
        <w:tc>
          <w:tcPr>
            <w:tcW w:w="664" w:type="dxa"/>
            <w:tcBorders>
              <w:top w:val="nil"/>
              <w:bottom w:val="single" w:sz="4" w:space="0" w:color="auto"/>
            </w:tcBorders>
            <w:noWrap/>
            <w:hideMark/>
          </w:tcPr>
          <w:p w14:paraId="5D734871"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475F8">
              <w:rPr>
                <w:rFonts w:ascii="Arial" w:hAnsi="Arial" w:cs="Arial"/>
                <w:sz w:val="20"/>
                <w:szCs w:val="20"/>
              </w:rPr>
              <w:t>Max</w:t>
            </w:r>
          </w:p>
        </w:tc>
        <w:tc>
          <w:tcPr>
            <w:tcW w:w="1070" w:type="dxa"/>
            <w:vMerge/>
            <w:tcBorders>
              <w:top w:val="nil"/>
              <w:bottom w:val="single" w:sz="4" w:space="0" w:color="auto"/>
            </w:tcBorders>
            <w:noWrap/>
            <w:hideMark/>
          </w:tcPr>
          <w:p w14:paraId="5D734872"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1815" w:type="dxa"/>
            <w:vMerge/>
            <w:tcBorders>
              <w:top w:val="nil"/>
              <w:bottom w:val="single" w:sz="4" w:space="0" w:color="auto"/>
            </w:tcBorders>
          </w:tcPr>
          <w:p w14:paraId="5D734873" w14:textId="77777777" w:rsidR="002551DA" w:rsidRPr="00F475F8" w:rsidRDefault="002551DA" w:rsidP="00D43F2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4B05C0" w:rsidRPr="00F475F8" w14:paraId="5D73487F" w14:textId="77777777" w:rsidTr="00622A8C">
        <w:trPr>
          <w:trHeight w:val="256"/>
        </w:trPr>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4" w:space="0" w:color="auto"/>
            </w:tcBorders>
            <w:noWrap/>
          </w:tcPr>
          <w:p w14:paraId="5D734875" w14:textId="77777777" w:rsidR="004B05C0" w:rsidRPr="00F475F8" w:rsidRDefault="004B05C0" w:rsidP="00D43F2C">
            <w:pPr>
              <w:keepNext/>
              <w:rPr>
                <w:rFonts w:ascii="Arial" w:hAnsi="Arial" w:cs="Arial"/>
                <w:sz w:val="20"/>
                <w:szCs w:val="20"/>
              </w:rPr>
            </w:pPr>
            <w:r w:rsidRPr="00F475F8">
              <w:rPr>
                <w:rFonts w:ascii="Arial" w:hAnsi="Arial" w:cs="Arial"/>
                <w:sz w:val="20"/>
                <w:szCs w:val="20"/>
              </w:rPr>
              <w:t>White bread</w:t>
            </w:r>
          </w:p>
          <w:p w14:paraId="5D734876" w14:textId="77777777" w:rsidR="004B05C0" w:rsidRPr="00F475F8" w:rsidRDefault="004B05C0" w:rsidP="00D43F2C">
            <w:pPr>
              <w:keepNext/>
              <w:rPr>
                <w:rFonts w:ascii="Arial" w:hAnsi="Arial" w:cs="Arial"/>
                <w:sz w:val="20"/>
                <w:szCs w:val="20"/>
              </w:rPr>
            </w:pPr>
            <w:r w:rsidRPr="00F475F8">
              <w:rPr>
                <w:rFonts w:ascii="Arial" w:hAnsi="Arial" w:cs="Arial"/>
                <w:sz w:val="20"/>
                <w:szCs w:val="20"/>
              </w:rPr>
              <w:t> </w:t>
            </w:r>
          </w:p>
          <w:p w14:paraId="5D734877" w14:textId="77777777" w:rsidR="004B05C0" w:rsidRPr="00F475F8" w:rsidRDefault="004B05C0" w:rsidP="00D43F2C">
            <w:pPr>
              <w:keepNext/>
              <w:rPr>
                <w:rFonts w:ascii="Arial" w:hAnsi="Arial" w:cs="Arial"/>
                <w:sz w:val="20"/>
                <w:szCs w:val="20"/>
              </w:rPr>
            </w:pPr>
          </w:p>
        </w:tc>
        <w:tc>
          <w:tcPr>
            <w:tcW w:w="2048" w:type="dxa"/>
            <w:tcBorders>
              <w:top w:val="single" w:sz="4" w:space="0" w:color="auto"/>
            </w:tcBorders>
            <w:noWrap/>
          </w:tcPr>
          <w:p w14:paraId="5D734878"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1</w:t>
            </w:r>
          </w:p>
        </w:tc>
        <w:tc>
          <w:tcPr>
            <w:tcW w:w="979" w:type="dxa"/>
            <w:tcBorders>
              <w:top w:val="single" w:sz="4" w:space="0" w:color="auto"/>
            </w:tcBorders>
            <w:noWrap/>
          </w:tcPr>
          <w:p w14:paraId="5D734879"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28</w:t>
            </w:r>
          </w:p>
        </w:tc>
        <w:tc>
          <w:tcPr>
            <w:tcW w:w="909" w:type="dxa"/>
            <w:tcBorders>
              <w:top w:val="single" w:sz="4" w:space="0" w:color="auto"/>
            </w:tcBorders>
            <w:noWrap/>
          </w:tcPr>
          <w:p w14:paraId="5D73487A"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62.77</w:t>
            </w:r>
          </w:p>
        </w:tc>
        <w:tc>
          <w:tcPr>
            <w:tcW w:w="705" w:type="dxa"/>
            <w:tcBorders>
              <w:top w:val="single" w:sz="4" w:space="0" w:color="auto"/>
            </w:tcBorders>
            <w:noWrap/>
          </w:tcPr>
          <w:p w14:paraId="5D73487B"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0.5</w:t>
            </w:r>
          </w:p>
        </w:tc>
        <w:tc>
          <w:tcPr>
            <w:tcW w:w="664" w:type="dxa"/>
            <w:tcBorders>
              <w:top w:val="single" w:sz="4" w:space="0" w:color="auto"/>
            </w:tcBorders>
            <w:noWrap/>
          </w:tcPr>
          <w:p w14:paraId="5D73487C"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270</w:t>
            </w:r>
          </w:p>
        </w:tc>
        <w:tc>
          <w:tcPr>
            <w:tcW w:w="1070" w:type="dxa"/>
            <w:tcBorders>
              <w:top w:val="single" w:sz="4" w:space="0" w:color="auto"/>
            </w:tcBorders>
            <w:noWrap/>
          </w:tcPr>
          <w:p w14:paraId="5D73487D"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46.38</w:t>
            </w:r>
          </w:p>
        </w:tc>
        <w:tc>
          <w:tcPr>
            <w:tcW w:w="1815" w:type="dxa"/>
            <w:tcBorders>
              <w:top w:val="single" w:sz="4" w:space="0" w:color="auto"/>
            </w:tcBorders>
          </w:tcPr>
          <w:p w14:paraId="5D73487E"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38.20</w:t>
            </w:r>
          </w:p>
        </w:tc>
      </w:tr>
      <w:tr w:rsidR="004B05C0" w:rsidRPr="00F475F8" w14:paraId="5D734888"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noWrap/>
          </w:tcPr>
          <w:p w14:paraId="5D734880" w14:textId="77777777" w:rsidR="004B05C0" w:rsidRPr="00F475F8" w:rsidRDefault="004B05C0" w:rsidP="00D43F2C">
            <w:pPr>
              <w:keepNext/>
              <w:rPr>
                <w:rFonts w:ascii="Arial" w:hAnsi="Arial" w:cs="Arial"/>
                <w:sz w:val="20"/>
                <w:szCs w:val="20"/>
              </w:rPr>
            </w:pPr>
          </w:p>
        </w:tc>
        <w:tc>
          <w:tcPr>
            <w:tcW w:w="2048" w:type="dxa"/>
            <w:noWrap/>
          </w:tcPr>
          <w:p w14:paraId="5D734881"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 xml:space="preserve">Phase 2 </w:t>
            </w:r>
          </w:p>
        </w:tc>
        <w:tc>
          <w:tcPr>
            <w:tcW w:w="979" w:type="dxa"/>
            <w:noWrap/>
          </w:tcPr>
          <w:p w14:paraId="5D734882"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32</w:t>
            </w:r>
          </w:p>
        </w:tc>
        <w:tc>
          <w:tcPr>
            <w:tcW w:w="909" w:type="dxa"/>
            <w:noWrap/>
          </w:tcPr>
          <w:p w14:paraId="5D734883"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66.69</w:t>
            </w:r>
          </w:p>
        </w:tc>
        <w:tc>
          <w:tcPr>
            <w:tcW w:w="705" w:type="dxa"/>
            <w:noWrap/>
          </w:tcPr>
          <w:p w14:paraId="5D734884"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18</w:t>
            </w:r>
          </w:p>
        </w:tc>
        <w:tc>
          <w:tcPr>
            <w:tcW w:w="664" w:type="dxa"/>
            <w:noWrap/>
          </w:tcPr>
          <w:p w14:paraId="5D734885"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140</w:t>
            </w:r>
          </w:p>
        </w:tc>
        <w:tc>
          <w:tcPr>
            <w:tcW w:w="1070" w:type="dxa"/>
            <w:noWrap/>
          </w:tcPr>
          <w:p w14:paraId="5D734886"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27.57</w:t>
            </w:r>
          </w:p>
        </w:tc>
        <w:tc>
          <w:tcPr>
            <w:tcW w:w="1815" w:type="dxa"/>
          </w:tcPr>
          <w:p w14:paraId="5D734887"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38.10</w:t>
            </w:r>
          </w:p>
        </w:tc>
      </w:tr>
      <w:tr w:rsidR="004B05C0" w:rsidRPr="00F475F8" w14:paraId="5D734891" w14:textId="77777777" w:rsidTr="00622A8C">
        <w:trPr>
          <w:trHeight w:val="353"/>
        </w:trPr>
        <w:tc>
          <w:tcPr>
            <w:cnfStyle w:val="001000000000" w:firstRow="0" w:lastRow="0" w:firstColumn="1" w:lastColumn="0" w:oddVBand="0" w:evenVBand="0" w:oddHBand="0" w:evenHBand="0" w:firstRowFirstColumn="0" w:firstRowLastColumn="0" w:lastRowFirstColumn="0" w:lastRowLastColumn="0"/>
            <w:tcW w:w="1470" w:type="dxa"/>
            <w:vMerge/>
            <w:noWrap/>
          </w:tcPr>
          <w:p w14:paraId="5D734889" w14:textId="77777777" w:rsidR="004B05C0" w:rsidRPr="00F475F8" w:rsidRDefault="004B05C0" w:rsidP="00D43F2C">
            <w:pPr>
              <w:keepNext/>
              <w:rPr>
                <w:rFonts w:ascii="Arial" w:hAnsi="Arial" w:cs="Arial"/>
                <w:sz w:val="20"/>
                <w:szCs w:val="20"/>
              </w:rPr>
            </w:pPr>
          </w:p>
        </w:tc>
        <w:tc>
          <w:tcPr>
            <w:tcW w:w="2048" w:type="dxa"/>
            <w:noWrap/>
          </w:tcPr>
          <w:p w14:paraId="5D73488A"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3</w:t>
            </w:r>
          </w:p>
        </w:tc>
        <w:tc>
          <w:tcPr>
            <w:tcW w:w="979" w:type="dxa"/>
            <w:noWrap/>
          </w:tcPr>
          <w:p w14:paraId="5D73488B"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37</w:t>
            </w:r>
          </w:p>
        </w:tc>
        <w:tc>
          <w:tcPr>
            <w:tcW w:w="909" w:type="dxa"/>
            <w:noWrap/>
          </w:tcPr>
          <w:p w14:paraId="5D73488C"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55.92</w:t>
            </w:r>
          </w:p>
        </w:tc>
        <w:tc>
          <w:tcPr>
            <w:tcW w:w="705" w:type="dxa"/>
            <w:noWrap/>
          </w:tcPr>
          <w:p w14:paraId="5D73488D"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20</w:t>
            </w:r>
          </w:p>
        </w:tc>
        <w:tc>
          <w:tcPr>
            <w:tcW w:w="664" w:type="dxa"/>
            <w:noWrap/>
          </w:tcPr>
          <w:p w14:paraId="5D73488E"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110</w:t>
            </w:r>
          </w:p>
        </w:tc>
        <w:tc>
          <w:tcPr>
            <w:tcW w:w="1070" w:type="dxa"/>
            <w:noWrap/>
          </w:tcPr>
          <w:p w14:paraId="5D73488F"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19.29</w:t>
            </w:r>
          </w:p>
        </w:tc>
        <w:tc>
          <w:tcPr>
            <w:tcW w:w="1815" w:type="dxa"/>
          </w:tcPr>
          <w:p w14:paraId="5D734890"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37.67</w:t>
            </w:r>
          </w:p>
        </w:tc>
      </w:tr>
      <w:tr w:rsidR="004B05C0" w:rsidRPr="00F475F8" w14:paraId="5D73489A"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val="restart"/>
            <w:noWrap/>
            <w:hideMark/>
          </w:tcPr>
          <w:p w14:paraId="5D734892" w14:textId="77777777" w:rsidR="004B05C0" w:rsidRPr="00F475F8" w:rsidRDefault="004B05C0" w:rsidP="00D43F2C">
            <w:pPr>
              <w:keepNext/>
              <w:rPr>
                <w:rFonts w:ascii="Arial" w:hAnsi="Arial" w:cs="Arial"/>
                <w:sz w:val="20"/>
                <w:szCs w:val="20"/>
              </w:rPr>
            </w:pPr>
            <w:r w:rsidRPr="00F475F8">
              <w:rPr>
                <w:rFonts w:ascii="Arial" w:hAnsi="Arial" w:cs="Arial"/>
                <w:sz w:val="20"/>
                <w:szCs w:val="20"/>
              </w:rPr>
              <w:t>Wholemeal bread</w:t>
            </w:r>
          </w:p>
        </w:tc>
        <w:tc>
          <w:tcPr>
            <w:tcW w:w="2048" w:type="dxa"/>
            <w:noWrap/>
            <w:hideMark/>
          </w:tcPr>
          <w:p w14:paraId="5D734893"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1</w:t>
            </w:r>
          </w:p>
        </w:tc>
        <w:tc>
          <w:tcPr>
            <w:tcW w:w="979" w:type="dxa"/>
            <w:noWrap/>
            <w:hideMark/>
          </w:tcPr>
          <w:p w14:paraId="5D734894"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16</w:t>
            </w:r>
          </w:p>
        </w:tc>
        <w:tc>
          <w:tcPr>
            <w:tcW w:w="909" w:type="dxa"/>
            <w:noWrap/>
            <w:hideMark/>
          </w:tcPr>
          <w:p w14:paraId="5D734895"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70.06</w:t>
            </w:r>
          </w:p>
        </w:tc>
        <w:tc>
          <w:tcPr>
            <w:tcW w:w="705" w:type="dxa"/>
            <w:noWrap/>
            <w:hideMark/>
          </w:tcPr>
          <w:p w14:paraId="5D734896"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w:t>
            </w:r>
          </w:p>
        </w:tc>
        <w:tc>
          <w:tcPr>
            <w:tcW w:w="664" w:type="dxa"/>
            <w:noWrap/>
            <w:hideMark/>
          </w:tcPr>
          <w:p w14:paraId="5D734897"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140</w:t>
            </w:r>
          </w:p>
        </w:tc>
        <w:tc>
          <w:tcPr>
            <w:tcW w:w="1070" w:type="dxa"/>
            <w:noWrap/>
            <w:hideMark/>
          </w:tcPr>
          <w:p w14:paraId="5D734898"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36.76</w:t>
            </w:r>
          </w:p>
        </w:tc>
        <w:tc>
          <w:tcPr>
            <w:tcW w:w="1815" w:type="dxa"/>
          </w:tcPr>
          <w:p w14:paraId="5D734899"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39.83</w:t>
            </w:r>
          </w:p>
        </w:tc>
      </w:tr>
      <w:tr w:rsidR="004B05C0" w:rsidRPr="00F475F8" w14:paraId="5D7348A3"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noWrap/>
          </w:tcPr>
          <w:p w14:paraId="5D73489B" w14:textId="77777777" w:rsidR="004B05C0" w:rsidRPr="00F475F8" w:rsidRDefault="004B05C0" w:rsidP="00D43F2C">
            <w:pPr>
              <w:keepNext/>
              <w:rPr>
                <w:rFonts w:ascii="Arial" w:hAnsi="Arial" w:cs="Arial"/>
                <w:sz w:val="20"/>
                <w:szCs w:val="20"/>
              </w:rPr>
            </w:pPr>
          </w:p>
        </w:tc>
        <w:tc>
          <w:tcPr>
            <w:tcW w:w="2048" w:type="dxa"/>
            <w:noWrap/>
          </w:tcPr>
          <w:p w14:paraId="5D73489C"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 xml:space="preserve">Phase 2 </w:t>
            </w:r>
          </w:p>
        </w:tc>
        <w:tc>
          <w:tcPr>
            <w:tcW w:w="979" w:type="dxa"/>
            <w:noWrap/>
          </w:tcPr>
          <w:p w14:paraId="5D73489D"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32</w:t>
            </w:r>
          </w:p>
        </w:tc>
        <w:tc>
          <w:tcPr>
            <w:tcW w:w="909" w:type="dxa"/>
            <w:noWrap/>
          </w:tcPr>
          <w:p w14:paraId="5D73489E"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68.50</w:t>
            </w:r>
          </w:p>
        </w:tc>
        <w:tc>
          <w:tcPr>
            <w:tcW w:w="705" w:type="dxa"/>
            <w:noWrap/>
          </w:tcPr>
          <w:p w14:paraId="5D73489F"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22</w:t>
            </w:r>
          </w:p>
        </w:tc>
        <w:tc>
          <w:tcPr>
            <w:tcW w:w="664" w:type="dxa"/>
            <w:noWrap/>
          </w:tcPr>
          <w:p w14:paraId="5D7348A0"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140</w:t>
            </w:r>
          </w:p>
        </w:tc>
        <w:tc>
          <w:tcPr>
            <w:tcW w:w="1070" w:type="dxa"/>
            <w:noWrap/>
          </w:tcPr>
          <w:p w14:paraId="5D7348A1"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23.09</w:t>
            </w:r>
          </w:p>
        </w:tc>
        <w:tc>
          <w:tcPr>
            <w:tcW w:w="1815" w:type="dxa"/>
          </w:tcPr>
          <w:p w14:paraId="5D7348A2"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38.50</w:t>
            </w:r>
          </w:p>
        </w:tc>
      </w:tr>
      <w:tr w:rsidR="004B05C0" w:rsidRPr="00F475F8" w14:paraId="5D7348AC" w14:textId="77777777" w:rsidTr="00622A8C">
        <w:trPr>
          <w:trHeight w:val="252"/>
        </w:trPr>
        <w:tc>
          <w:tcPr>
            <w:cnfStyle w:val="001000000000" w:firstRow="0" w:lastRow="0" w:firstColumn="1" w:lastColumn="0" w:oddVBand="0" w:evenVBand="0" w:oddHBand="0" w:evenHBand="0" w:firstRowFirstColumn="0" w:firstRowLastColumn="0" w:lastRowFirstColumn="0" w:lastRowLastColumn="0"/>
            <w:tcW w:w="1470" w:type="dxa"/>
            <w:vMerge/>
            <w:noWrap/>
          </w:tcPr>
          <w:p w14:paraId="5D7348A4" w14:textId="77777777" w:rsidR="004B05C0" w:rsidRPr="00F475F8" w:rsidRDefault="004B05C0" w:rsidP="00D43F2C">
            <w:pPr>
              <w:keepNext/>
              <w:rPr>
                <w:rFonts w:ascii="Arial" w:hAnsi="Arial" w:cs="Arial"/>
                <w:sz w:val="20"/>
                <w:szCs w:val="20"/>
              </w:rPr>
            </w:pPr>
          </w:p>
        </w:tc>
        <w:tc>
          <w:tcPr>
            <w:tcW w:w="2048" w:type="dxa"/>
            <w:noWrap/>
          </w:tcPr>
          <w:p w14:paraId="5D7348A5"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3</w:t>
            </w:r>
          </w:p>
        </w:tc>
        <w:tc>
          <w:tcPr>
            <w:tcW w:w="979" w:type="dxa"/>
            <w:noWrap/>
          </w:tcPr>
          <w:p w14:paraId="5D7348A6"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28</w:t>
            </w:r>
          </w:p>
        </w:tc>
        <w:tc>
          <w:tcPr>
            <w:tcW w:w="909" w:type="dxa"/>
            <w:noWrap/>
          </w:tcPr>
          <w:p w14:paraId="5D7348A7"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52.86</w:t>
            </w:r>
          </w:p>
        </w:tc>
        <w:tc>
          <w:tcPr>
            <w:tcW w:w="705" w:type="dxa"/>
            <w:noWrap/>
          </w:tcPr>
          <w:p w14:paraId="5D7348A8"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23</w:t>
            </w:r>
          </w:p>
        </w:tc>
        <w:tc>
          <w:tcPr>
            <w:tcW w:w="664" w:type="dxa"/>
            <w:noWrap/>
          </w:tcPr>
          <w:p w14:paraId="5D7348A9"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95</w:t>
            </w:r>
          </w:p>
        </w:tc>
        <w:tc>
          <w:tcPr>
            <w:tcW w:w="1070" w:type="dxa"/>
            <w:noWrap/>
          </w:tcPr>
          <w:p w14:paraId="5D7348AA"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16.53</w:t>
            </w:r>
          </w:p>
        </w:tc>
        <w:tc>
          <w:tcPr>
            <w:tcW w:w="1815" w:type="dxa"/>
          </w:tcPr>
          <w:p w14:paraId="5D7348AB"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38.84</w:t>
            </w:r>
          </w:p>
        </w:tc>
      </w:tr>
      <w:tr w:rsidR="004B05C0" w:rsidRPr="00F475F8" w14:paraId="5D7348B5"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val="restart"/>
            <w:noWrap/>
            <w:hideMark/>
          </w:tcPr>
          <w:p w14:paraId="5D7348AD" w14:textId="77777777" w:rsidR="004B05C0" w:rsidRPr="00F475F8" w:rsidRDefault="004B05C0" w:rsidP="00D43F2C">
            <w:pPr>
              <w:keepNext/>
              <w:rPr>
                <w:rFonts w:ascii="Arial" w:hAnsi="Arial" w:cs="Arial"/>
                <w:sz w:val="20"/>
                <w:szCs w:val="20"/>
              </w:rPr>
            </w:pPr>
            <w:r w:rsidRPr="00F475F8">
              <w:rPr>
                <w:rFonts w:ascii="Arial" w:hAnsi="Arial" w:cs="Arial"/>
                <w:sz w:val="20"/>
                <w:szCs w:val="20"/>
              </w:rPr>
              <w:t>Multigrain and seed</w:t>
            </w:r>
            <w:r w:rsidR="00E62DBB" w:rsidRPr="00F475F8">
              <w:rPr>
                <w:rFonts w:ascii="Arial" w:hAnsi="Arial" w:cs="Arial"/>
                <w:sz w:val="20"/>
                <w:szCs w:val="20"/>
              </w:rPr>
              <w:t>s</w:t>
            </w:r>
            <w:r w:rsidRPr="00F475F8">
              <w:rPr>
                <w:rFonts w:ascii="Arial" w:hAnsi="Arial" w:cs="Arial"/>
                <w:sz w:val="20"/>
                <w:szCs w:val="20"/>
              </w:rPr>
              <w:t xml:space="preserve"> bread</w:t>
            </w:r>
          </w:p>
        </w:tc>
        <w:tc>
          <w:tcPr>
            <w:tcW w:w="2048" w:type="dxa"/>
            <w:noWrap/>
            <w:hideMark/>
          </w:tcPr>
          <w:p w14:paraId="5D7348AE"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1</w:t>
            </w:r>
          </w:p>
        </w:tc>
        <w:tc>
          <w:tcPr>
            <w:tcW w:w="979" w:type="dxa"/>
            <w:noWrap/>
            <w:hideMark/>
          </w:tcPr>
          <w:p w14:paraId="5D7348AF"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17</w:t>
            </w:r>
          </w:p>
        </w:tc>
        <w:tc>
          <w:tcPr>
            <w:tcW w:w="909" w:type="dxa"/>
            <w:noWrap/>
            <w:hideMark/>
          </w:tcPr>
          <w:p w14:paraId="5D7348B0"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56.53</w:t>
            </w:r>
          </w:p>
        </w:tc>
        <w:tc>
          <w:tcPr>
            <w:tcW w:w="705" w:type="dxa"/>
            <w:noWrap/>
            <w:hideMark/>
          </w:tcPr>
          <w:p w14:paraId="5D7348B1"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30</w:t>
            </w:r>
          </w:p>
        </w:tc>
        <w:tc>
          <w:tcPr>
            <w:tcW w:w="664" w:type="dxa"/>
            <w:noWrap/>
            <w:hideMark/>
          </w:tcPr>
          <w:p w14:paraId="5D7348B2"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140</w:t>
            </w:r>
          </w:p>
        </w:tc>
        <w:tc>
          <w:tcPr>
            <w:tcW w:w="1070" w:type="dxa"/>
            <w:noWrap/>
            <w:hideMark/>
          </w:tcPr>
          <w:p w14:paraId="5D7348B3"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32.60</w:t>
            </w:r>
          </w:p>
        </w:tc>
        <w:tc>
          <w:tcPr>
            <w:tcW w:w="1815" w:type="dxa"/>
          </w:tcPr>
          <w:p w14:paraId="5D7348B4"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36.73</w:t>
            </w:r>
          </w:p>
        </w:tc>
      </w:tr>
      <w:tr w:rsidR="004B05C0" w:rsidRPr="00F475F8" w14:paraId="5D7348BE"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noWrap/>
            <w:hideMark/>
          </w:tcPr>
          <w:p w14:paraId="5D7348B6" w14:textId="77777777" w:rsidR="004B05C0" w:rsidRPr="00F475F8" w:rsidRDefault="004B05C0" w:rsidP="00D43F2C">
            <w:pPr>
              <w:keepNext/>
              <w:rPr>
                <w:rFonts w:ascii="Arial" w:hAnsi="Arial" w:cs="Arial"/>
                <w:sz w:val="20"/>
                <w:szCs w:val="20"/>
              </w:rPr>
            </w:pPr>
          </w:p>
        </w:tc>
        <w:tc>
          <w:tcPr>
            <w:tcW w:w="2048" w:type="dxa"/>
            <w:noWrap/>
            <w:hideMark/>
          </w:tcPr>
          <w:p w14:paraId="5D7348B7"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 xml:space="preserve">Phase 2 </w:t>
            </w:r>
          </w:p>
        </w:tc>
        <w:tc>
          <w:tcPr>
            <w:tcW w:w="979" w:type="dxa"/>
            <w:noWrap/>
            <w:hideMark/>
          </w:tcPr>
          <w:p w14:paraId="5D7348B8"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32</w:t>
            </w:r>
          </w:p>
        </w:tc>
        <w:tc>
          <w:tcPr>
            <w:tcW w:w="909" w:type="dxa"/>
            <w:noWrap/>
            <w:hideMark/>
          </w:tcPr>
          <w:p w14:paraId="5D7348B9"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63.03</w:t>
            </w:r>
          </w:p>
        </w:tc>
        <w:tc>
          <w:tcPr>
            <w:tcW w:w="705" w:type="dxa"/>
            <w:noWrap/>
            <w:hideMark/>
          </w:tcPr>
          <w:p w14:paraId="5D7348BA"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22</w:t>
            </w:r>
          </w:p>
        </w:tc>
        <w:tc>
          <w:tcPr>
            <w:tcW w:w="664" w:type="dxa"/>
            <w:noWrap/>
            <w:hideMark/>
          </w:tcPr>
          <w:p w14:paraId="5D7348BB"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150</w:t>
            </w:r>
          </w:p>
        </w:tc>
        <w:tc>
          <w:tcPr>
            <w:tcW w:w="1070" w:type="dxa"/>
            <w:noWrap/>
            <w:hideMark/>
          </w:tcPr>
          <w:p w14:paraId="5D7348BC"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30.04</w:t>
            </w:r>
          </w:p>
        </w:tc>
        <w:tc>
          <w:tcPr>
            <w:tcW w:w="1815" w:type="dxa"/>
          </w:tcPr>
          <w:p w14:paraId="5D7348BD"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38.20</w:t>
            </w:r>
          </w:p>
        </w:tc>
      </w:tr>
      <w:tr w:rsidR="004B05C0" w:rsidRPr="00F475F8" w14:paraId="5D7348C7" w14:textId="77777777" w:rsidTr="00622A8C">
        <w:trPr>
          <w:trHeight w:val="259"/>
        </w:trPr>
        <w:tc>
          <w:tcPr>
            <w:cnfStyle w:val="001000000000" w:firstRow="0" w:lastRow="0" w:firstColumn="1" w:lastColumn="0" w:oddVBand="0" w:evenVBand="0" w:oddHBand="0" w:evenHBand="0" w:firstRowFirstColumn="0" w:firstRowLastColumn="0" w:lastRowFirstColumn="0" w:lastRowLastColumn="0"/>
            <w:tcW w:w="1470" w:type="dxa"/>
            <w:vMerge/>
            <w:noWrap/>
          </w:tcPr>
          <w:p w14:paraId="5D7348BF" w14:textId="77777777" w:rsidR="004B05C0" w:rsidRPr="00F475F8" w:rsidRDefault="004B05C0" w:rsidP="00D43F2C">
            <w:pPr>
              <w:keepNext/>
              <w:rPr>
                <w:rFonts w:ascii="Arial" w:hAnsi="Arial" w:cs="Arial"/>
                <w:sz w:val="20"/>
                <w:szCs w:val="20"/>
              </w:rPr>
            </w:pPr>
          </w:p>
        </w:tc>
        <w:tc>
          <w:tcPr>
            <w:tcW w:w="2048" w:type="dxa"/>
            <w:noWrap/>
          </w:tcPr>
          <w:p w14:paraId="5D7348C0" w14:textId="77777777" w:rsidR="004B05C0" w:rsidRPr="00F475F8" w:rsidRDefault="004B05C0" w:rsidP="00D43F2C">
            <w:pPr>
              <w:keepN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Phase 3</w:t>
            </w:r>
          </w:p>
        </w:tc>
        <w:tc>
          <w:tcPr>
            <w:tcW w:w="979" w:type="dxa"/>
            <w:noWrap/>
          </w:tcPr>
          <w:p w14:paraId="5D7348C1"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30</w:t>
            </w:r>
          </w:p>
        </w:tc>
        <w:tc>
          <w:tcPr>
            <w:tcW w:w="909" w:type="dxa"/>
            <w:noWrap/>
          </w:tcPr>
          <w:p w14:paraId="5D7348C2"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59.93</w:t>
            </w:r>
          </w:p>
        </w:tc>
        <w:tc>
          <w:tcPr>
            <w:tcW w:w="705" w:type="dxa"/>
            <w:noWrap/>
          </w:tcPr>
          <w:p w14:paraId="5D7348C3"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33</w:t>
            </w:r>
          </w:p>
        </w:tc>
        <w:tc>
          <w:tcPr>
            <w:tcW w:w="664" w:type="dxa"/>
            <w:noWrap/>
          </w:tcPr>
          <w:p w14:paraId="5D7348C4"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91</w:t>
            </w:r>
          </w:p>
        </w:tc>
        <w:tc>
          <w:tcPr>
            <w:tcW w:w="1070" w:type="dxa"/>
            <w:noWrap/>
          </w:tcPr>
          <w:p w14:paraId="5D7348C5"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14.68</w:t>
            </w:r>
          </w:p>
        </w:tc>
        <w:tc>
          <w:tcPr>
            <w:tcW w:w="1815" w:type="dxa"/>
          </w:tcPr>
          <w:p w14:paraId="5D7348C6" w14:textId="77777777" w:rsidR="004B05C0" w:rsidRPr="00F475F8" w:rsidRDefault="004B05C0" w:rsidP="00D43F2C">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37.81</w:t>
            </w:r>
          </w:p>
        </w:tc>
      </w:tr>
    </w:tbl>
    <w:p w14:paraId="5D7348C8" w14:textId="77777777" w:rsidR="00D95012" w:rsidRDefault="00D95012" w:rsidP="00CC5193">
      <w:pPr>
        <w:rPr>
          <w:rFonts w:ascii="Arial" w:hAnsi="Arial" w:cs="Arial"/>
          <w:sz w:val="22"/>
        </w:rPr>
      </w:pPr>
    </w:p>
    <w:p w14:paraId="5D7348CA" w14:textId="4677D496" w:rsidR="00F47E8B" w:rsidRPr="00FD51EC" w:rsidRDefault="00F47E8B" w:rsidP="00CC5193">
      <w:pPr>
        <w:rPr>
          <w:rFonts w:ascii="Arial" w:hAnsi="Arial" w:cs="Arial"/>
          <w:sz w:val="22"/>
        </w:rPr>
      </w:pPr>
      <w:r w:rsidRPr="00006FEC">
        <w:rPr>
          <w:rFonts w:ascii="Arial" w:hAnsi="Arial" w:cs="Arial"/>
          <w:sz w:val="22"/>
        </w:rPr>
        <w:t xml:space="preserve">Information on the amount of </w:t>
      </w:r>
      <w:r>
        <w:rPr>
          <w:rFonts w:ascii="Arial" w:hAnsi="Arial" w:cs="Arial"/>
          <w:sz w:val="22"/>
        </w:rPr>
        <w:t>iodine</w:t>
      </w:r>
      <w:r w:rsidRPr="00006FEC">
        <w:rPr>
          <w:rFonts w:ascii="Arial" w:hAnsi="Arial" w:cs="Arial"/>
          <w:sz w:val="22"/>
        </w:rPr>
        <w:t xml:space="preserve"> in </w:t>
      </w:r>
      <w:r>
        <w:rPr>
          <w:rFonts w:ascii="Arial" w:hAnsi="Arial" w:cs="Arial"/>
          <w:sz w:val="22"/>
        </w:rPr>
        <w:t xml:space="preserve">the organic, gluten free, English muffin and flat bread </w:t>
      </w:r>
      <w:r w:rsidRPr="00006FEC">
        <w:rPr>
          <w:rFonts w:ascii="Arial" w:hAnsi="Arial" w:cs="Arial"/>
          <w:sz w:val="22"/>
        </w:rPr>
        <w:t xml:space="preserve">samples </w:t>
      </w:r>
      <w:r>
        <w:rPr>
          <w:rFonts w:ascii="Arial" w:hAnsi="Arial" w:cs="Arial"/>
          <w:sz w:val="22"/>
        </w:rPr>
        <w:t xml:space="preserve">purchased </w:t>
      </w:r>
      <w:r w:rsidRPr="00006FEC">
        <w:rPr>
          <w:rFonts w:ascii="Arial" w:hAnsi="Arial" w:cs="Arial"/>
          <w:sz w:val="22"/>
        </w:rPr>
        <w:t>for survey 1 is provided in Appendix 1.</w:t>
      </w:r>
      <w:r>
        <w:rPr>
          <w:rFonts w:ascii="Arial" w:hAnsi="Arial" w:cs="Arial"/>
          <w:sz w:val="22"/>
        </w:rPr>
        <w:t xml:space="preserve"> These values were not used to derive the mean iodine levels in bread for estimating the Australian population’s dietary intakes of iodine.</w:t>
      </w:r>
    </w:p>
    <w:p w14:paraId="68F90BF8" w14:textId="1DFA4286" w:rsidR="00B919E0" w:rsidRDefault="00B919E0" w:rsidP="00DC0A52">
      <w:pPr>
        <w:pStyle w:val="Caption"/>
        <w:spacing w:line="276" w:lineRule="auto"/>
      </w:pPr>
      <w:bookmarkStart w:id="15" w:name="_Toc430856498"/>
      <w:r>
        <w:t xml:space="preserve">Table </w:t>
      </w:r>
      <w:r w:rsidR="001E1660">
        <w:fldChar w:fldCharType="begin"/>
      </w:r>
      <w:r w:rsidR="001E1660">
        <w:instrText xml:space="preserve"> SEQ Table \* ARABIC </w:instrText>
      </w:r>
      <w:r w:rsidR="001E1660">
        <w:fldChar w:fldCharType="separate"/>
      </w:r>
      <w:r w:rsidR="00A41217">
        <w:rPr>
          <w:noProof/>
        </w:rPr>
        <w:t>2</w:t>
      </w:r>
      <w:r w:rsidR="001E1660">
        <w:rPr>
          <w:noProof/>
        </w:rPr>
        <w:fldChar w:fldCharType="end"/>
      </w:r>
      <w:r>
        <w:t>: Iodine and moisture content of FSANZ prepared unfortified* bread samples - bread survey 2</w:t>
      </w:r>
      <w:bookmarkEnd w:id="15"/>
      <w:r>
        <w:t xml:space="preserve"> </w:t>
      </w:r>
    </w:p>
    <w:p w14:paraId="6E6D24D5" w14:textId="77777777" w:rsidR="00DC0A52" w:rsidRPr="00DC0A52" w:rsidRDefault="00DC0A52" w:rsidP="00DC0A52">
      <w:pPr>
        <w:spacing w:after="0"/>
        <w:rPr>
          <w:lang w:val="en-AU" w:eastAsia="en-AU"/>
        </w:rPr>
      </w:pPr>
    </w:p>
    <w:tbl>
      <w:tblPr>
        <w:tblStyle w:val="LightShading"/>
        <w:tblW w:w="0" w:type="auto"/>
        <w:tblLook w:val="06A0" w:firstRow="1" w:lastRow="0" w:firstColumn="1" w:lastColumn="0" w:noHBand="1" w:noVBand="1"/>
        <w:tblCaption w:val="Table 2: Iodine and moisture content of FSANZ prepared unfortified* bread samples - bread survey 2 "/>
      </w:tblPr>
      <w:tblGrid>
        <w:gridCol w:w="2093"/>
        <w:gridCol w:w="1701"/>
        <w:gridCol w:w="2268"/>
        <w:gridCol w:w="2268"/>
      </w:tblGrid>
      <w:tr w:rsidR="00991F5A" w:rsidRPr="00F475F8" w14:paraId="5D7348D0" w14:textId="77777777" w:rsidTr="006059FC">
        <w:trPr>
          <w:cnfStyle w:val="100000000000" w:firstRow="1" w:lastRow="0" w:firstColumn="0" w:lastColumn="0" w:oddVBand="0" w:evenVBand="0" w:oddHBand="0" w:evenHBand="0" w:firstRowFirstColumn="0" w:firstRowLastColumn="0" w:lastRowFirstColumn="0" w:lastRowLastColumn="0"/>
          <w:trHeight w:val="674"/>
          <w:tblHeader/>
        </w:trPr>
        <w:tc>
          <w:tcPr>
            <w:cnfStyle w:val="001000000000" w:firstRow="0" w:lastRow="0" w:firstColumn="1" w:lastColumn="0" w:oddVBand="0" w:evenVBand="0" w:oddHBand="0" w:evenHBand="0" w:firstRowFirstColumn="0" w:firstRowLastColumn="0" w:lastRowFirstColumn="0" w:lastRowLastColumn="0"/>
            <w:tcW w:w="2093" w:type="dxa"/>
          </w:tcPr>
          <w:p w14:paraId="5D7348CC" w14:textId="77777777" w:rsidR="00BE12E5" w:rsidRPr="00F475F8" w:rsidRDefault="00991F5A" w:rsidP="00CC5193">
            <w:pPr>
              <w:rPr>
                <w:rFonts w:ascii="Arial" w:hAnsi="Arial" w:cs="Arial"/>
                <w:sz w:val="20"/>
                <w:szCs w:val="20"/>
              </w:rPr>
            </w:pPr>
            <w:r w:rsidRPr="00F475F8">
              <w:rPr>
                <w:rFonts w:ascii="Arial" w:hAnsi="Arial" w:cs="Arial"/>
                <w:sz w:val="20"/>
                <w:szCs w:val="20"/>
              </w:rPr>
              <w:lastRenderedPageBreak/>
              <w:t xml:space="preserve">Bread </w:t>
            </w:r>
            <w:r w:rsidR="001B4977" w:rsidRPr="00F475F8">
              <w:rPr>
                <w:rFonts w:ascii="Arial" w:hAnsi="Arial" w:cs="Arial"/>
                <w:sz w:val="20"/>
                <w:szCs w:val="20"/>
              </w:rPr>
              <w:t>type</w:t>
            </w:r>
          </w:p>
        </w:tc>
        <w:tc>
          <w:tcPr>
            <w:tcW w:w="1701" w:type="dxa"/>
          </w:tcPr>
          <w:p w14:paraId="5D7348CD" w14:textId="77777777" w:rsidR="00991F5A" w:rsidRPr="00F475F8" w:rsidRDefault="001A08DE"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No.</w:t>
            </w:r>
            <w:r w:rsidR="00991F5A" w:rsidRPr="00F475F8">
              <w:rPr>
                <w:rFonts w:ascii="Arial" w:hAnsi="Arial" w:cs="Arial"/>
                <w:sz w:val="20"/>
                <w:szCs w:val="20"/>
              </w:rPr>
              <w:t xml:space="preserve"> of samples</w:t>
            </w:r>
          </w:p>
        </w:tc>
        <w:tc>
          <w:tcPr>
            <w:tcW w:w="2268" w:type="dxa"/>
          </w:tcPr>
          <w:p w14:paraId="5D7348CE" w14:textId="77777777" w:rsidR="00991F5A" w:rsidRPr="00F475F8" w:rsidRDefault="00991F5A"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Mean iodine value (</w:t>
            </w:r>
            <w:r w:rsidR="00913EFE" w:rsidRPr="00F475F8">
              <w:rPr>
                <w:rFonts w:ascii="Arial" w:hAnsi="Arial" w:cs="Arial"/>
                <w:sz w:val="20"/>
                <w:szCs w:val="20"/>
              </w:rPr>
              <w:t>µ</w:t>
            </w:r>
            <w:r w:rsidRPr="00F475F8">
              <w:rPr>
                <w:rFonts w:ascii="Arial" w:hAnsi="Arial" w:cs="Arial"/>
                <w:sz w:val="20"/>
                <w:szCs w:val="20"/>
              </w:rPr>
              <w:t>g/100g)</w:t>
            </w:r>
          </w:p>
        </w:tc>
        <w:tc>
          <w:tcPr>
            <w:tcW w:w="2268" w:type="dxa"/>
          </w:tcPr>
          <w:p w14:paraId="5D7348CF" w14:textId="77777777" w:rsidR="00991F5A" w:rsidRPr="00F475F8" w:rsidRDefault="005D17D1"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Mean moisture c</w:t>
            </w:r>
            <w:r w:rsidR="00991F5A" w:rsidRPr="00F475F8">
              <w:rPr>
                <w:rFonts w:ascii="Arial" w:hAnsi="Arial" w:cs="Arial"/>
                <w:sz w:val="20"/>
                <w:szCs w:val="20"/>
              </w:rPr>
              <w:t>ontent (g/100g)</w:t>
            </w:r>
          </w:p>
        </w:tc>
      </w:tr>
      <w:tr w:rsidR="00991F5A" w:rsidRPr="00F475F8" w14:paraId="5D7348D5" w14:textId="77777777" w:rsidTr="00AC3A70">
        <w:trPr>
          <w:trHeight w:val="268"/>
        </w:trPr>
        <w:tc>
          <w:tcPr>
            <w:cnfStyle w:val="001000000000" w:firstRow="0" w:lastRow="0" w:firstColumn="1" w:lastColumn="0" w:oddVBand="0" w:evenVBand="0" w:oddHBand="0" w:evenHBand="0" w:firstRowFirstColumn="0" w:firstRowLastColumn="0" w:lastRowFirstColumn="0" w:lastRowLastColumn="0"/>
            <w:tcW w:w="2093" w:type="dxa"/>
          </w:tcPr>
          <w:p w14:paraId="5D7348D1" w14:textId="77777777" w:rsidR="00991F5A" w:rsidRPr="00F475F8" w:rsidRDefault="00991F5A" w:rsidP="00CC5193">
            <w:pPr>
              <w:rPr>
                <w:rFonts w:ascii="Arial" w:hAnsi="Arial" w:cs="Arial"/>
                <w:sz w:val="20"/>
                <w:szCs w:val="20"/>
              </w:rPr>
            </w:pPr>
            <w:r w:rsidRPr="00F475F8">
              <w:rPr>
                <w:rFonts w:ascii="Arial" w:hAnsi="Arial" w:cs="Arial"/>
                <w:sz w:val="20"/>
                <w:szCs w:val="20"/>
              </w:rPr>
              <w:t>White Bread</w:t>
            </w:r>
          </w:p>
        </w:tc>
        <w:tc>
          <w:tcPr>
            <w:tcW w:w="1701" w:type="dxa"/>
          </w:tcPr>
          <w:p w14:paraId="5D7348D2"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w:t>
            </w:r>
          </w:p>
        </w:tc>
        <w:tc>
          <w:tcPr>
            <w:tcW w:w="2268" w:type="dxa"/>
          </w:tcPr>
          <w:p w14:paraId="5D7348D3"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1.7</w:t>
            </w:r>
          </w:p>
        </w:tc>
        <w:tc>
          <w:tcPr>
            <w:tcW w:w="2268" w:type="dxa"/>
          </w:tcPr>
          <w:p w14:paraId="5D7348D4"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41.95</w:t>
            </w:r>
          </w:p>
        </w:tc>
      </w:tr>
      <w:tr w:rsidR="00991F5A" w:rsidRPr="00F475F8" w14:paraId="5D7348DA" w14:textId="77777777" w:rsidTr="00AC3A70">
        <w:trPr>
          <w:trHeight w:val="268"/>
        </w:trPr>
        <w:tc>
          <w:tcPr>
            <w:cnfStyle w:val="001000000000" w:firstRow="0" w:lastRow="0" w:firstColumn="1" w:lastColumn="0" w:oddVBand="0" w:evenVBand="0" w:oddHBand="0" w:evenHBand="0" w:firstRowFirstColumn="0" w:firstRowLastColumn="0" w:lastRowFirstColumn="0" w:lastRowLastColumn="0"/>
            <w:tcW w:w="2093" w:type="dxa"/>
          </w:tcPr>
          <w:p w14:paraId="5D7348D6" w14:textId="77777777" w:rsidR="00991F5A" w:rsidRPr="00F475F8" w:rsidRDefault="00991F5A" w:rsidP="00CC5193">
            <w:pPr>
              <w:rPr>
                <w:rFonts w:ascii="Arial" w:hAnsi="Arial" w:cs="Arial"/>
                <w:sz w:val="20"/>
                <w:szCs w:val="20"/>
              </w:rPr>
            </w:pPr>
            <w:r w:rsidRPr="00F475F8">
              <w:rPr>
                <w:rFonts w:ascii="Arial" w:hAnsi="Arial" w:cs="Arial"/>
                <w:sz w:val="20"/>
                <w:szCs w:val="20"/>
              </w:rPr>
              <w:t>Wholemeal Bread</w:t>
            </w:r>
          </w:p>
        </w:tc>
        <w:tc>
          <w:tcPr>
            <w:tcW w:w="1701" w:type="dxa"/>
          </w:tcPr>
          <w:p w14:paraId="5D7348D7"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w:t>
            </w:r>
          </w:p>
        </w:tc>
        <w:tc>
          <w:tcPr>
            <w:tcW w:w="2268" w:type="dxa"/>
          </w:tcPr>
          <w:p w14:paraId="5D7348D8"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1.8</w:t>
            </w:r>
          </w:p>
        </w:tc>
        <w:tc>
          <w:tcPr>
            <w:tcW w:w="2268" w:type="dxa"/>
          </w:tcPr>
          <w:p w14:paraId="5D7348D9"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44.1</w:t>
            </w:r>
          </w:p>
        </w:tc>
      </w:tr>
      <w:tr w:rsidR="00991F5A" w:rsidRPr="00F475F8" w14:paraId="5D7348DF" w14:textId="77777777" w:rsidTr="00AC3A70">
        <w:trPr>
          <w:trHeight w:val="277"/>
        </w:trPr>
        <w:tc>
          <w:tcPr>
            <w:cnfStyle w:val="001000000000" w:firstRow="0" w:lastRow="0" w:firstColumn="1" w:lastColumn="0" w:oddVBand="0" w:evenVBand="0" w:oddHBand="0" w:evenHBand="0" w:firstRowFirstColumn="0" w:firstRowLastColumn="0" w:lastRowFirstColumn="0" w:lastRowLastColumn="0"/>
            <w:tcW w:w="2093" w:type="dxa"/>
          </w:tcPr>
          <w:p w14:paraId="5D7348DB" w14:textId="77777777" w:rsidR="00991F5A" w:rsidRPr="00F475F8" w:rsidRDefault="00991F5A" w:rsidP="00CC5193">
            <w:pPr>
              <w:rPr>
                <w:rFonts w:ascii="Arial" w:hAnsi="Arial" w:cs="Arial"/>
                <w:sz w:val="20"/>
                <w:szCs w:val="20"/>
              </w:rPr>
            </w:pPr>
            <w:r w:rsidRPr="00F475F8">
              <w:rPr>
                <w:rFonts w:ascii="Arial" w:hAnsi="Arial" w:cs="Arial"/>
                <w:sz w:val="20"/>
                <w:szCs w:val="20"/>
              </w:rPr>
              <w:t>Multigrain Bread</w:t>
            </w:r>
          </w:p>
        </w:tc>
        <w:tc>
          <w:tcPr>
            <w:tcW w:w="1701" w:type="dxa"/>
          </w:tcPr>
          <w:p w14:paraId="5D7348DC"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1</w:t>
            </w:r>
          </w:p>
        </w:tc>
        <w:tc>
          <w:tcPr>
            <w:tcW w:w="2268" w:type="dxa"/>
          </w:tcPr>
          <w:p w14:paraId="5D7348DD"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2.3</w:t>
            </w:r>
          </w:p>
        </w:tc>
        <w:tc>
          <w:tcPr>
            <w:tcW w:w="2268" w:type="dxa"/>
          </w:tcPr>
          <w:p w14:paraId="5D7348DE" w14:textId="77777777" w:rsidR="00991F5A" w:rsidRPr="00F475F8" w:rsidRDefault="00991F5A"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75F8">
              <w:rPr>
                <w:rFonts w:ascii="Arial" w:hAnsi="Arial" w:cs="Arial"/>
                <w:sz w:val="20"/>
                <w:szCs w:val="20"/>
              </w:rPr>
              <w:t>39.8</w:t>
            </w:r>
          </w:p>
        </w:tc>
      </w:tr>
    </w:tbl>
    <w:p w14:paraId="5D7348E0" w14:textId="77777777" w:rsidR="00F45182" w:rsidRPr="00F475F8" w:rsidRDefault="00805FC8" w:rsidP="00CC5193">
      <w:pPr>
        <w:rPr>
          <w:rFonts w:ascii="Arial" w:hAnsi="Arial" w:cs="Arial"/>
          <w:sz w:val="18"/>
          <w:szCs w:val="18"/>
        </w:rPr>
      </w:pPr>
      <w:r w:rsidRPr="00F475F8">
        <w:rPr>
          <w:rFonts w:ascii="Arial" w:hAnsi="Arial" w:cs="Arial"/>
          <w:sz w:val="18"/>
          <w:szCs w:val="18"/>
        </w:rPr>
        <w:t>*</w:t>
      </w:r>
      <w:r w:rsidR="007F22A0" w:rsidRPr="00F475F8">
        <w:rPr>
          <w:rFonts w:ascii="Arial" w:hAnsi="Arial" w:cs="Arial"/>
          <w:sz w:val="18"/>
          <w:szCs w:val="18"/>
        </w:rPr>
        <w:t xml:space="preserve">Unfortified samples made with </w:t>
      </w:r>
      <w:r w:rsidR="002B3563" w:rsidRPr="00F475F8">
        <w:rPr>
          <w:rFonts w:ascii="Arial" w:hAnsi="Arial" w:cs="Arial"/>
          <w:sz w:val="18"/>
          <w:szCs w:val="18"/>
        </w:rPr>
        <w:t>unfortified bread-making</w:t>
      </w:r>
      <w:r w:rsidR="007F22A0" w:rsidRPr="00F475F8">
        <w:rPr>
          <w:rFonts w:ascii="Arial" w:hAnsi="Arial" w:cs="Arial"/>
          <w:sz w:val="18"/>
          <w:szCs w:val="18"/>
        </w:rPr>
        <w:t xml:space="preserve"> flour and non-iodised salt.</w:t>
      </w:r>
    </w:p>
    <w:p w14:paraId="5D7348E2" w14:textId="77777777" w:rsidR="00F45182" w:rsidRPr="00FD51EC" w:rsidRDefault="00482B46" w:rsidP="00D43F2C">
      <w:pPr>
        <w:pStyle w:val="Heading2"/>
      </w:pPr>
      <w:bookmarkStart w:id="16" w:name="_Toc430854503"/>
      <w:r>
        <w:t>5</w:t>
      </w:r>
      <w:r w:rsidR="005538CD" w:rsidRPr="00FD51EC">
        <w:t>.1</w:t>
      </w:r>
      <w:r w:rsidR="005538CD" w:rsidRPr="00FD51EC">
        <w:tab/>
      </w:r>
      <w:r w:rsidR="00F45182" w:rsidRPr="00FD51EC">
        <w:t>Summary of results from the survey</w:t>
      </w:r>
      <w:r w:rsidR="00742ABC">
        <w:t>s</w:t>
      </w:r>
      <w:bookmarkEnd w:id="16"/>
    </w:p>
    <w:p w14:paraId="5D7348E3" w14:textId="77777777" w:rsidR="00E36599" w:rsidRPr="00FD51EC" w:rsidRDefault="00E36599" w:rsidP="00CC5193">
      <w:pPr>
        <w:rPr>
          <w:rFonts w:ascii="Arial" w:hAnsi="Arial" w:cs="Arial"/>
          <w:sz w:val="22"/>
        </w:rPr>
      </w:pPr>
      <w:r w:rsidRPr="00FD51EC">
        <w:rPr>
          <w:rFonts w:ascii="Arial" w:hAnsi="Arial" w:cs="Arial"/>
          <w:sz w:val="22"/>
        </w:rPr>
        <w:t xml:space="preserve">The </w:t>
      </w:r>
      <w:r>
        <w:rPr>
          <w:rFonts w:ascii="Arial" w:hAnsi="Arial" w:cs="Arial"/>
          <w:sz w:val="22"/>
        </w:rPr>
        <w:t xml:space="preserve">average </w:t>
      </w:r>
      <w:r w:rsidRPr="00FD51EC">
        <w:rPr>
          <w:rFonts w:ascii="Arial" w:hAnsi="Arial" w:cs="Arial"/>
          <w:sz w:val="22"/>
        </w:rPr>
        <w:t xml:space="preserve">amount of iodine measured in bread samples before the introduction of mandatory iodine fortification was less than 2.0 </w:t>
      </w:r>
      <w:r w:rsidR="00913EFE">
        <w:rPr>
          <w:rFonts w:ascii="Arial" w:hAnsi="Arial" w:cs="Arial"/>
          <w:sz w:val="22"/>
        </w:rPr>
        <w:t>µ</w:t>
      </w:r>
      <w:r w:rsidRPr="00FD51EC">
        <w:rPr>
          <w:rFonts w:ascii="Arial" w:hAnsi="Arial" w:cs="Arial"/>
          <w:sz w:val="22"/>
        </w:rPr>
        <w:t xml:space="preserve">g/100g (NUTTAB 2006). This value </w:t>
      </w:r>
      <w:r>
        <w:rPr>
          <w:rFonts w:ascii="Arial" w:hAnsi="Arial" w:cs="Arial"/>
          <w:sz w:val="22"/>
        </w:rPr>
        <w:t>was</w:t>
      </w:r>
      <w:r w:rsidRPr="00FD51EC">
        <w:rPr>
          <w:rFonts w:ascii="Arial" w:hAnsi="Arial" w:cs="Arial"/>
          <w:sz w:val="22"/>
        </w:rPr>
        <w:t xml:space="preserve"> verified by the </w:t>
      </w:r>
      <w:r>
        <w:rPr>
          <w:rFonts w:ascii="Arial" w:hAnsi="Arial" w:cs="Arial"/>
          <w:sz w:val="22"/>
        </w:rPr>
        <w:t xml:space="preserve">analysed </w:t>
      </w:r>
      <w:r w:rsidRPr="00FD51EC">
        <w:rPr>
          <w:rFonts w:ascii="Arial" w:hAnsi="Arial" w:cs="Arial"/>
          <w:sz w:val="22"/>
        </w:rPr>
        <w:t xml:space="preserve">mean iodine values </w:t>
      </w:r>
      <w:r>
        <w:rPr>
          <w:rFonts w:ascii="Arial" w:hAnsi="Arial" w:cs="Arial"/>
          <w:sz w:val="22"/>
        </w:rPr>
        <w:t>of</w:t>
      </w:r>
      <w:r w:rsidRPr="00FD51EC">
        <w:rPr>
          <w:rFonts w:ascii="Arial" w:hAnsi="Arial" w:cs="Arial"/>
          <w:sz w:val="22"/>
        </w:rPr>
        <w:t xml:space="preserve"> the unfortified bread samples prepared by FSANZ. </w:t>
      </w:r>
    </w:p>
    <w:p w14:paraId="5D7348E4" w14:textId="77777777" w:rsidR="005B59B6" w:rsidRDefault="004B1ACD" w:rsidP="00CC5193">
      <w:pPr>
        <w:rPr>
          <w:rFonts w:ascii="Arial" w:hAnsi="Arial" w:cs="Arial"/>
          <w:sz w:val="22"/>
        </w:rPr>
      </w:pPr>
      <w:r w:rsidRPr="00FD51EC">
        <w:rPr>
          <w:rFonts w:ascii="Arial" w:hAnsi="Arial" w:cs="Arial"/>
          <w:sz w:val="22"/>
        </w:rPr>
        <w:t xml:space="preserve">The results show an increase in the amount of iodine present in the </w:t>
      </w:r>
      <w:r w:rsidR="00704C5D">
        <w:rPr>
          <w:rFonts w:ascii="Arial" w:hAnsi="Arial" w:cs="Arial"/>
          <w:sz w:val="22"/>
        </w:rPr>
        <w:t xml:space="preserve">bread </w:t>
      </w:r>
      <w:r w:rsidRPr="00FD51EC">
        <w:rPr>
          <w:rFonts w:ascii="Arial" w:hAnsi="Arial" w:cs="Arial"/>
          <w:sz w:val="22"/>
        </w:rPr>
        <w:t xml:space="preserve">samples following </w:t>
      </w:r>
      <w:r w:rsidR="005B59B6">
        <w:rPr>
          <w:rFonts w:ascii="Arial" w:hAnsi="Arial" w:cs="Arial"/>
          <w:sz w:val="22"/>
        </w:rPr>
        <w:t xml:space="preserve">mandatory iodine </w:t>
      </w:r>
      <w:r w:rsidRPr="00FD51EC">
        <w:rPr>
          <w:rFonts w:ascii="Arial" w:hAnsi="Arial" w:cs="Arial"/>
          <w:sz w:val="22"/>
        </w:rPr>
        <w:t xml:space="preserve">fortification. </w:t>
      </w:r>
      <w:r w:rsidR="007F22A0" w:rsidRPr="00FD51EC">
        <w:rPr>
          <w:rFonts w:ascii="Arial" w:hAnsi="Arial" w:cs="Arial"/>
          <w:sz w:val="22"/>
        </w:rPr>
        <w:t xml:space="preserve">Despite the noted differences in the mean iodine values for the bread </w:t>
      </w:r>
      <w:r w:rsidR="00866558">
        <w:rPr>
          <w:rFonts w:ascii="Arial" w:hAnsi="Arial" w:cs="Arial"/>
          <w:sz w:val="22"/>
        </w:rPr>
        <w:t>types</w:t>
      </w:r>
      <w:r w:rsidR="00704C5D">
        <w:rPr>
          <w:rFonts w:ascii="Arial" w:hAnsi="Arial" w:cs="Arial"/>
          <w:sz w:val="22"/>
        </w:rPr>
        <w:t>,</w:t>
      </w:r>
      <w:r w:rsidR="007F22A0" w:rsidRPr="00FD51EC">
        <w:rPr>
          <w:rFonts w:ascii="Arial" w:hAnsi="Arial" w:cs="Arial"/>
          <w:sz w:val="22"/>
        </w:rPr>
        <w:t xml:space="preserve"> </w:t>
      </w:r>
      <w:r w:rsidR="002E0413">
        <w:rPr>
          <w:rFonts w:ascii="Arial" w:hAnsi="Arial" w:cs="Arial"/>
          <w:sz w:val="22"/>
        </w:rPr>
        <w:t xml:space="preserve">the </w:t>
      </w:r>
      <w:r w:rsidR="00E62DBB">
        <w:rPr>
          <w:rFonts w:ascii="Arial" w:hAnsi="Arial" w:cs="Arial"/>
          <w:sz w:val="22"/>
        </w:rPr>
        <w:t xml:space="preserve">range of values </w:t>
      </w:r>
      <w:r w:rsidR="002E0413">
        <w:rPr>
          <w:rFonts w:ascii="Arial" w:hAnsi="Arial" w:cs="Arial"/>
          <w:sz w:val="22"/>
        </w:rPr>
        <w:t xml:space="preserve">reported </w:t>
      </w:r>
      <w:r w:rsidR="00E62DBB">
        <w:rPr>
          <w:rFonts w:ascii="Arial" w:hAnsi="Arial" w:cs="Arial"/>
          <w:sz w:val="22"/>
        </w:rPr>
        <w:t>within each p</w:t>
      </w:r>
      <w:r w:rsidR="002E0413">
        <w:rPr>
          <w:rFonts w:ascii="Arial" w:hAnsi="Arial" w:cs="Arial"/>
          <w:sz w:val="22"/>
        </w:rPr>
        <w:t>ha</w:t>
      </w:r>
      <w:r w:rsidR="00E62DBB">
        <w:rPr>
          <w:rFonts w:ascii="Arial" w:hAnsi="Arial" w:cs="Arial"/>
          <w:sz w:val="22"/>
        </w:rPr>
        <w:t xml:space="preserve">se </w:t>
      </w:r>
      <w:r w:rsidR="002B3563" w:rsidRPr="00FD51EC">
        <w:rPr>
          <w:rFonts w:ascii="Arial" w:hAnsi="Arial" w:cs="Arial"/>
          <w:sz w:val="22"/>
        </w:rPr>
        <w:t xml:space="preserve">and the variations in the values </w:t>
      </w:r>
      <w:r w:rsidR="002B3563" w:rsidRPr="002E0413">
        <w:rPr>
          <w:rFonts w:ascii="Arial" w:hAnsi="Arial" w:cs="Arial"/>
          <w:sz w:val="22"/>
        </w:rPr>
        <w:t xml:space="preserve">for </w:t>
      </w:r>
      <w:r w:rsidR="003847E7" w:rsidRPr="002E0413">
        <w:rPr>
          <w:rFonts w:ascii="Arial" w:hAnsi="Arial" w:cs="Arial"/>
          <w:sz w:val="22"/>
        </w:rPr>
        <w:t xml:space="preserve">samples collected for </w:t>
      </w:r>
      <w:r w:rsidR="002B3563" w:rsidRPr="002E0413">
        <w:rPr>
          <w:rFonts w:ascii="Arial" w:hAnsi="Arial" w:cs="Arial"/>
          <w:sz w:val="22"/>
        </w:rPr>
        <w:t xml:space="preserve">the three </w:t>
      </w:r>
      <w:r w:rsidR="00E62DBB" w:rsidRPr="003F3ED3">
        <w:rPr>
          <w:rFonts w:ascii="Arial" w:hAnsi="Arial" w:cs="Arial"/>
          <w:sz w:val="22"/>
        </w:rPr>
        <w:t>phases</w:t>
      </w:r>
      <w:r w:rsidR="002B3563" w:rsidRPr="003F3ED3">
        <w:rPr>
          <w:rFonts w:ascii="Arial" w:hAnsi="Arial" w:cs="Arial"/>
          <w:sz w:val="22"/>
        </w:rPr>
        <w:t xml:space="preserve"> </w:t>
      </w:r>
      <w:r w:rsidR="009610C2">
        <w:rPr>
          <w:rFonts w:ascii="Arial" w:hAnsi="Arial" w:cs="Arial"/>
          <w:sz w:val="22"/>
        </w:rPr>
        <w:t>indicate</w:t>
      </w:r>
      <w:r w:rsidR="009610C2" w:rsidRPr="003F3ED3">
        <w:rPr>
          <w:rFonts w:ascii="Arial" w:hAnsi="Arial" w:cs="Arial"/>
          <w:sz w:val="22"/>
        </w:rPr>
        <w:t xml:space="preserve"> </w:t>
      </w:r>
      <w:r w:rsidR="002B3563" w:rsidRPr="003F3ED3">
        <w:rPr>
          <w:rFonts w:ascii="Arial" w:hAnsi="Arial" w:cs="Arial"/>
          <w:sz w:val="22"/>
        </w:rPr>
        <w:t xml:space="preserve">that </w:t>
      </w:r>
      <w:r w:rsidR="005B59B6" w:rsidRPr="003F3ED3">
        <w:rPr>
          <w:rFonts w:ascii="Arial" w:hAnsi="Arial" w:cs="Arial"/>
          <w:sz w:val="22"/>
        </w:rPr>
        <w:t xml:space="preserve">the </w:t>
      </w:r>
      <w:r w:rsidR="002B3563" w:rsidRPr="003F3ED3">
        <w:rPr>
          <w:rFonts w:ascii="Arial" w:hAnsi="Arial" w:cs="Arial"/>
          <w:sz w:val="22"/>
        </w:rPr>
        <w:t xml:space="preserve">bakeries </w:t>
      </w:r>
      <w:r w:rsidR="00A81505" w:rsidRPr="003F3ED3">
        <w:rPr>
          <w:rFonts w:ascii="Arial" w:hAnsi="Arial" w:cs="Arial"/>
          <w:sz w:val="22"/>
        </w:rPr>
        <w:t xml:space="preserve">were using </w:t>
      </w:r>
      <w:r w:rsidR="002B3563" w:rsidRPr="003F3ED3">
        <w:rPr>
          <w:rFonts w:ascii="Arial" w:hAnsi="Arial" w:cs="Arial"/>
          <w:sz w:val="22"/>
        </w:rPr>
        <w:t xml:space="preserve">iodised salt in </w:t>
      </w:r>
      <w:r w:rsidR="00704C5D" w:rsidRPr="003F3ED3">
        <w:rPr>
          <w:rFonts w:ascii="Arial" w:hAnsi="Arial" w:cs="Arial"/>
          <w:sz w:val="22"/>
        </w:rPr>
        <w:t>making bread</w:t>
      </w:r>
      <w:r w:rsidR="00D507CF">
        <w:rPr>
          <w:rFonts w:ascii="Arial" w:hAnsi="Arial" w:cs="Arial"/>
          <w:sz w:val="22"/>
        </w:rPr>
        <w:t xml:space="preserve">. </w:t>
      </w:r>
      <w:r w:rsidR="001A0959">
        <w:rPr>
          <w:rFonts w:ascii="Arial" w:hAnsi="Arial" w:cs="Arial"/>
          <w:sz w:val="22"/>
        </w:rPr>
        <w:t>One possible exception was noted in phase 1 where the minimum iodine content of the bread sample was 0.5 µ</w:t>
      </w:r>
      <w:r w:rsidR="001A0959" w:rsidRPr="00D81F21">
        <w:rPr>
          <w:rFonts w:ascii="Arial" w:hAnsi="Arial" w:cs="Arial"/>
          <w:sz w:val="22"/>
        </w:rPr>
        <w:t>g</w:t>
      </w:r>
      <w:r w:rsidR="001A0959">
        <w:rPr>
          <w:rFonts w:ascii="Arial" w:hAnsi="Arial" w:cs="Arial"/>
          <w:sz w:val="22"/>
        </w:rPr>
        <w:t xml:space="preserve"> iodine</w:t>
      </w:r>
      <w:r w:rsidR="001A0959" w:rsidRPr="00D81F21">
        <w:rPr>
          <w:rFonts w:ascii="Arial" w:hAnsi="Arial" w:cs="Arial"/>
          <w:sz w:val="22"/>
        </w:rPr>
        <w:t>/100g</w:t>
      </w:r>
      <w:r w:rsidR="001A0959" w:rsidRPr="00FD51EC">
        <w:rPr>
          <w:rFonts w:ascii="Arial" w:hAnsi="Arial" w:cs="Arial"/>
          <w:sz w:val="22"/>
        </w:rPr>
        <w:t>.</w:t>
      </w:r>
      <w:r w:rsidR="001A0959">
        <w:rPr>
          <w:rFonts w:ascii="Arial" w:hAnsi="Arial" w:cs="Arial"/>
          <w:sz w:val="22"/>
        </w:rPr>
        <w:t xml:space="preserve"> </w:t>
      </w:r>
      <w:r w:rsidR="00D507CF">
        <w:rPr>
          <w:rFonts w:ascii="Arial" w:hAnsi="Arial" w:cs="Arial"/>
          <w:sz w:val="22"/>
        </w:rPr>
        <w:t>The</w:t>
      </w:r>
      <w:r w:rsidR="009610C2">
        <w:rPr>
          <w:rFonts w:ascii="Arial" w:hAnsi="Arial" w:cs="Arial"/>
          <w:sz w:val="22"/>
        </w:rPr>
        <w:t xml:space="preserve"> mean</w:t>
      </w:r>
      <w:r w:rsidR="002E0413" w:rsidRPr="003F3ED3">
        <w:rPr>
          <w:rFonts w:ascii="Arial" w:hAnsi="Arial" w:cs="Arial"/>
          <w:sz w:val="22"/>
        </w:rPr>
        <w:t xml:space="preserve"> iodine content </w:t>
      </w:r>
      <w:r w:rsidR="00D507CF">
        <w:rPr>
          <w:rFonts w:ascii="Arial" w:hAnsi="Arial" w:cs="Arial"/>
          <w:sz w:val="22"/>
        </w:rPr>
        <w:t xml:space="preserve">of the iodised salt used </w:t>
      </w:r>
      <w:r w:rsidR="001A0959">
        <w:rPr>
          <w:rFonts w:ascii="Arial" w:hAnsi="Arial" w:cs="Arial"/>
          <w:sz w:val="22"/>
        </w:rPr>
        <w:t xml:space="preserve">was </w:t>
      </w:r>
      <w:r w:rsidR="00D507CF">
        <w:rPr>
          <w:rFonts w:ascii="Arial" w:hAnsi="Arial" w:cs="Arial"/>
          <w:sz w:val="22"/>
        </w:rPr>
        <w:t>estimated to range</w:t>
      </w:r>
      <w:r w:rsidR="002E0413" w:rsidRPr="003F3ED3">
        <w:rPr>
          <w:rFonts w:ascii="Arial" w:hAnsi="Arial" w:cs="Arial"/>
          <w:sz w:val="22"/>
        </w:rPr>
        <w:t xml:space="preserve"> from 53-70</w:t>
      </w:r>
      <w:r w:rsidR="002E0413">
        <w:rPr>
          <w:rFonts w:ascii="Arial" w:hAnsi="Arial" w:cs="Arial"/>
          <w:sz w:val="22"/>
        </w:rPr>
        <w:t> </w:t>
      </w:r>
      <w:r w:rsidR="009D4F18">
        <w:rPr>
          <w:rFonts w:ascii="Arial" w:hAnsi="Arial" w:cs="Arial"/>
          <w:sz w:val="22"/>
        </w:rPr>
        <w:t>µ</w:t>
      </w:r>
      <w:r w:rsidR="002E0413" w:rsidRPr="00057E13">
        <w:rPr>
          <w:rFonts w:ascii="Arial" w:hAnsi="Arial" w:cs="Arial"/>
          <w:sz w:val="22"/>
        </w:rPr>
        <w:t>g/100g</w:t>
      </w:r>
      <w:r w:rsidR="003F3ED3">
        <w:rPr>
          <w:rFonts w:ascii="Arial" w:hAnsi="Arial" w:cs="Arial"/>
          <w:sz w:val="22"/>
        </w:rPr>
        <w:t xml:space="preserve">. </w:t>
      </w:r>
    </w:p>
    <w:p w14:paraId="5D7348E5" w14:textId="77777777" w:rsidR="0052631B" w:rsidRPr="00881218" w:rsidRDefault="0052631B" w:rsidP="0052631B">
      <w:pPr>
        <w:rPr>
          <w:rFonts w:ascii="Arial" w:hAnsi="Arial" w:cs="Arial"/>
          <w:sz w:val="22"/>
        </w:rPr>
      </w:pPr>
      <w:r>
        <w:rPr>
          <w:rFonts w:ascii="Arial" w:hAnsi="Arial" w:cs="Arial"/>
          <w:sz w:val="22"/>
        </w:rPr>
        <w:t>Results for iodine content in breads from the 2010, 2012 and 2013 surveys,</w:t>
      </w:r>
      <w:r w:rsidRPr="00881218">
        <w:rPr>
          <w:rFonts w:ascii="Arial" w:hAnsi="Arial" w:cs="Arial"/>
          <w:sz w:val="22"/>
        </w:rPr>
        <w:t xml:space="preserve"> </w:t>
      </w:r>
      <w:r>
        <w:rPr>
          <w:rFonts w:ascii="Arial" w:hAnsi="Arial" w:cs="Arial"/>
          <w:sz w:val="22"/>
        </w:rPr>
        <w:t xml:space="preserve">together with food consumption data from national nutrition surveys </w:t>
      </w:r>
      <w:r w:rsidRPr="00881218">
        <w:rPr>
          <w:rFonts w:ascii="Arial" w:hAnsi="Arial" w:cs="Arial"/>
          <w:sz w:val="22"/>
        </w:rPr>
        <w:t>were used to</w:t>
      </w:r>
      <w:r>
        <w:rPr>
          <w:rFonts w:ascii="Arial" w:hAnsi="Arial" w:cs="Arial"/>
          <w:sz w:val="22"/>
        </w:rPr>
        <w:t>:</w:t>
      </w:r>
      <w:r w:rsidRPr="00881218">
        <w:rPr>
          <w:rFonts w:ascii="Arial" w:hAnsi="Arial" w:cs="Arial"/>
          <w:sz w:val="22"/>
        </w:rPr>
        <w:t xml:space="preserve"> estimate the Australian population’s intake of dietary </w:t>
      </w:r>
      <w:r>
        <w:rPr>
          <w:rFonts w:ascii="Arial" w:hAnsi="Arial" w:cs="Arial"/>
          <w:sz w:val="22"/>
        </w:rPr>
        <w:t>iodine</w:t>
      </w:r>
      <w:r w:rsidRPr="00881218">
        <w:rPr>
          <w:rFonts w:ascii="Arial" w:hAnsi="Arial" w:cs="Arial"/>
          <w:sz w:val="22"/>
        </w:rPr>
        <w:t xml:space="preserve"> before and after the implementation of fortification </w:t>
      </w:r>
      <w:r>
        <w:rPr>
          <w:rFonts w:ascii="Arial" w:hAnsi="Arial" w:cs="Arial"/>
          <w:sz w:val="22"/>
        </w:rPr>
        <w:t xml:space="preserve">of salt for use in bread making </w:t>
      </w:r>
      <w:r w:rsidRPr="00881218">
        <w:rPr>
          <w:rFonts w:ascii="Arial" w:hAnsi="Arial" w:cs="Arial"/>
          <w:sz w:val="22"/>
        </w:rPr>
        <w:t xml:space="preserve">in </w:t>
      </w:r>
      <w:r>
        <w:rPr>
          <w:rFonts w:ascii="Arial" w:hAnsi="Arial" w:cs="Arial"/>
          <w:sz w:val="22"/>
        </w:rPr>
        <w:t>October</w:t>
      </w:r>
      <w:r w:rsidRPr="00881218">
        <w:rPr>
          <w:rFonts w:ascii="Arial" w:hAnsi="Arial" w:cs="Arial"/>
          <w:sz w:val="22"/>
        </w:rPr>
        <w:t xml:space="preserve"> 2009</w:t>
      </w:r>
      <w:r>
        <w:rPr>
          <w:rFonts w:ascii="Arial" w:hAnsi="Arial" w:cs="Arial"/>
          <w:sz w:val="22"/>
        </w:rPr>
        <w:t>; compare estimated iodine intakes for different population groups with relevant nutrient reference values; and identify food groups that were major contributors to iodine intake before and after fortification. The focus of the estimates was primarily on the target population</w:t>
      </w:r>
      <w:r w:rsidRPr="00881218">
        <w:rPr>
          <w:rFonts w:ascii="Arial" w:hAnsi="Arial" w:cs="Arial"/>
          <w:sz w:val="22"/>
        </w:rPr>
        <w:t>.</w:t>
      </w:r>
    </w:p>
    <w:p w14:paraId="5D7348E6" w14:textId="77777777" w:rsidR="0052631B" w:rsidRDefault="0052631B" w:rsidP="0052631B">
      <w:pPr>
        <w:rPr>
          <w:rFonts w:ascii="Arial" w:hAnsi="Arial" w:cs="Arial"/>
          <w:sz w:val="22"/>
        </w:rPr>
      </w:pPr>
      <w:r w:rsidRPr="00881218">
        <w:rPr>
          <w:rFonts w:ascii="Arial" w:hAnsi="Arial" w:cs="Arial"/>
          <w:sz w:val="22"/>
        </w:rPr>
        <w:t xml:space="preserve">The results </w:t>
      </w:r>
      <w:r>
        <w:rPr>
          <w:rFonts w:ascii="Arial" w:hAnsi="Arial" w:cs="Arial"/>
          <w:sz w:val="22"/>
        </w:rPr>
        <w:t xml:space="preserve">of the bread surveys </w:t>
      </w:r>
      <w:r w:rsidRPr="00881218">
        <w:rPr>
          <w:rFonts w:ascii="Arial" w:hAnsi="Arial" w:cs="Arial"/>
          <w:sz w:val="22"/>
        </w:rPr>
        <w:t>were also used to update the Australian food composition database that is compiled by FSANZ</w:t>
      </w:r>
      <w:r>
        <w:rPr>
          <w:rFonts w:ascii="Arial" w:hAnsi="Arial" w:cs="Arial"/>
          <w:sz w:val="22"/>
        </w:rPr>
        <w:t xml:space="preserve"> (FSANZ 2014)</w:t>
      </w:r>
      <w:r w:rsidRPr="00881218">
        <w:rPr>
          <w:rFonts w:ascii="Arial" w:hAnsi="Arial" w:cs="Arial"/>
          <w:sz w:val="22"/>
        </w:rPr>
        <w:t>.</w:t>
      </w:r>
    </w:p>
    <w:p w14:paraId="5D7348E7" w14:textId="77777777" w:rsidR="0052631B" w:rsidRDefault="0052631B" w:rsidP="0052631B">
      <w:pPr>
        <w:rPr>
          <w:rFonts w:ascii="Arial" w:hAnsi="Arial" w:cs="Arial"/>
          <w:sz w:val="22"/>
        </w:rPr>
      </w:pPr>
    </w:p>
    <w:p w14:paraId="5D7348E8" w14:textId="77777777" w:rsidR="00AF5567" w:rsidRPr="00EF198C" w:rsidRDefault="00482B46" w:rsidP="00CC5193">
      <w:pPr>
        <w:pStyle w:val="Heading1"/>
        <w:spacing w:after="200"/>
        <w:ind w:left="0" w:firstLine="0"/>
        <w:rPr>
          <w:rFonts w:ascii="Arial" w:hAnsi="Arial" w:cs="Arial"/>
          <w:sz w:val="24"/>
          <w:szCs w:val="24"/>
        </w:rPr>
      </w:pPr>
      <w:bookmarkStart w:id="17" w:name="_Toc430854504"/>
      <w:r w:rsidRPr="00EF198C">
        <w:rPr>
          <w:rFonts w:ascii="Arial" w:hAnsi="Arial" w:cs="Arial"/>
          <w:sz w:val="24"/>
          <w:szCs w:val="24"/>
        </w:rPr>
        <w:t>6</w:t>
      </w:r>
      <w:r w:rsidR="005538CD" w:rsidRPr="00EF198C">
        <w:rPr>
          <w:rFonts w:ascii="Arial" w:hAnsi="Arial" w:cs="Arial"/>
          <w:sz w:val="24"/>
          <w:szCs w:val="24"/>
        </w:rPr>
        <w:t>.0</w:t>
      </w:r>
      <w:r w:rsidR="005538CD" w:rsidRPr="00EF198C">
        <w:rPr>
          <w:rFonts w:ascii="Arial" w:hAnsi="Arial" w:cs="Arial"/>
          <w:sz w:val="24"/>
          <w:szCs w:val="24"/>
        </w:rPr>
        <w:tab/>
      </w:r>
      <w:r w:rsidR="00493DFA" w:rsidRPr="00EF198C">
        <w:rPr>
          <w:rFonts w:ascii="Arial" w:hAnsi="Arial" w:cs="Arial"/>
          <w:sz w:val="24"/>
          <w:szCs w:val="24"/>
        </w:rPr>
        <w:tab/>
      </w:r>
      <w:r w:rsidR="006C47B4" w:rsidRPr="00EF198C">
        <w:rPr>
          <w:rFonts w:ascii="Arial" w:hAnsi="Arial" w:cs="Arial"/>
          <w:sz w:val="24"/>
          <w:szCs w:val="24"/>
        </w:rPr>
        <w:t xml:space="preserve">Estimated </w:t>
      </w:r>
      <w:r w:rsidR="00DD68DD">
        <w:rPr>
          <w:rFonts w:ascii="Arial" w:hAnsi="Arial" w:cs="Arial"/>
          <w:sz w:val="24"/>
          <w:szCs w:val="24"/>
        </w:rPr>
        <w:t xml:space="preserve">usual </w:t>
      </w:r>
      <w:r w:rsidR="001C7974" w:rsidRPr="00EF198C">
        <w:rPr>
          <w:rFonts w:ascii="Arial" w:hAnsi="Arial" w:cs="Arial"/>
          <w:sz w:val="24"/>
          <w:szCs w:val="24"/>
        </w:rPr>
        <w:t>i</w:t>
      </w:r>
      <w:r w:rsidR="0096172E" w:rsidRPr="00EF198C">
        <w:rPr>
          <w:rFonts w:ascii="Arial" w:hAnsi="Arial" w:cs="Arial"/>
          <w:sz w:val="24"/>
          <w:szCs w:val="24"/>
        </w:rPr>
        <w:t>ntake of dietary iodine</w:t>
      </w:r>
      <w:bookmarkEnd w:id="17"/>
      <w:r w:rsidR="0096172E" w:rsidRPr="00EF198C">
        <w:rPr>
          <w:rFonts w:ascii="Arial" w:hAnsi="Arial" w:cs="Arial"/>
          <w:sz w:val="24"/>
          <w:szCs w:val="24"/>
        </w:rPr>
        <w:t xml:space="preserve"> </w:t>
      </w:r>
    </w:p>
    <w:p w14:paraId="5D7348E9" w14:textId="6B1540CA" w:rsidR="00AF5567" w:rsidRPr="00FD51EC" w:rsidRDefault="00443BA8" w:rsidP="00CC5193">
      <w:pPr>
        <w:rPr>
          <w:rFonts w:ascii="Arial" w:hAnsi="Arial" w:cs="Arial"/>
          <w:sz w:val="22"/>
        </w:rPr>
      </w:pPr>
      <w:r w:rsidRPr="00FD51EC">
        <w:rPr>
          <w:rFonts w:ascii="Arial" w:hAnsi="Arial" w:cs="Arial"/>
          <w:sz w:val="22"/>
        </w:rPr>
        <w:t xml:space="preserve">The </w:t>
      </w:r>
      <w:r w:rsidR="00404DFF">
        <w:rPr>
          <w:rFonts w:ascii="Arial" w:hAnsi="Arial" w:cs="Arial"/>
          <w:sz w:val="22"/>
        </w:rPr>
        <w:t xml:space="preserve">Australian </w:t>
      </w:r>
      <w:r w:rsidR="002C63D5" w:rsidRPr="00FD51EC">
        <w:rPr>
          <w:rFonts w:ascii="Arial" w:hAnsi="Arial" w:cs="Arial"/>
          <w:sz w:val="22"/>
        </w:rPr>
        <w:t xml:space="preserve">population groups </w:t>
      </w:r>
      <w:r w:rsidRPr="00FD51EC">
        <w:rPr>
          <w:rFonts w:ascii="Arial" w:hAnsi="Arial" w:cs="Arial"/>
          <w:sz w:val="22"/>
        </w:rPr>
        <w:t>most vulnerable to iodine deficiency are developing foetus</w:t>
      </w:r>
      <w:r w:rsidR="002C63D5">
        <w:rPr>
          <w:rFonts w:ascii="Arial" w:hAnsi="Arial" w:cs="Arial"/>
          <w:sz w:val="22"/>
        </w:rPr>
        <w:t>es</w:t>
      </w:r>
      <w:r w:rsidRPr="00FD51EC">
        <w:rPr>
          <w:rFonts w:ascii="Arial" w:hAnsi="Arial" w:cs="Arial"/>
          <w:sz w:val="22"/>
        </w:rPr>
        <w:t xml:space="preserve"> and young children up to three years of age. </w:t>
      </w:r>
      <w:r w:rsidR="00404DFF">
        <w:rPr>
          <w:rFonts w:ascii="Arial" w:hAnsi="Arial" w:cs="Arial"/>
          <w:sz w:val="22"/>
        </w:rPr>
        <w:t xml:space="preserve">For that reason although the dietary iodine intake of all Australians needed to </w:t>
      </w:r>
      <w:r w:rsidR="00981753">
        <w:rPr>
          <w:rFonts w:ascii="Arial" w:hAnsi="Arial" w:cs="Arial"/>
          <w:sz w:val="22"/>
        </w:rPr>
        <w:t xml:space="preserve">be at </w:t>
      </w:r>
      <w:r w:rsidR="00404DFF">
        <w:rPr>
          <w:rFonts w:ascii="Arial" w:hAnsi="Arial" w:cs="Arial"/>
          <w:sz w:val="22"/>
        </w:rPr>
        <w:t xml:space="preserve">optimum levels, </w:t>
      </w:r>
      <w:r w:rsidRPr="00FD51EC">
        <w:rPr>
          <w:rFonts w:ascii="Arial" w:hAnsi="Arial" w:cs="Arial"/>
          <w:sz w:val="22"/>
        </w:rPr>
        <w:t xml:space="preserve">young children, pregnant and breast-feeding </w:t>
      </w:r>
      <w:r w:rsidR="00F343F7">
        <w:rPr>
          <w:rFonts w:ascii="Arial" w:hAnsi="Arial" w:cs="Arial"/>
          <w:sz w:val="22"/>
        </w:rPr>
        <w:t>females</w:t>
      </w:r>
      <w:r w:rsidRPr="00FD51EC">
        <w:rPr>
          <w:rFonts w:ascii="Arial" w:hAnsi="Arial" w:cs="Arial"/>
          <w:sz w:val="22"/>
        </w:rPr>
        <w:t xml:space="preserve"> were identified as the target </w:t>
      </w:r>
      <w:r w:rsidR="00404DFF">
        <w:rPr>
          <w:rFonts w:ascii="Arial" w:hAnsi="Arial" w:cs="Arial"/>
          <w:sz w:val="22"/>
        </w:rPr>
        <w:t>populations</w:t>
      </w:r>
      <w:r w:rsidRPr="00FD51EC">
        <w:rPr>
          <w:rFonts w:ascii="Arial" w:hAnsi="Arial" w:cs="Arial"/>
          <w:sz w:val="22"/>
        </w:rPr>
        <w:t xml:space="preserve"> for mandatory iodine fortification</w:t>
      </w:r>
      <w:r w:rsidR="00404DFF">
        <w:rPr>
          <w:rFonts w:ascii="Arial" w:hAnsi="Arial" w:cs="Arial"/>
          <w:sz w:val="22"/>
        </w:rPr>
        <w:t xml:space="preserve"> of bread</w:t>
      </w:r>
      <w:r w:rsidR="0026571D">
        <w:rPr>
          <w:rFonts w:ascii="Arial" w:hAnsi="Arial" w:cs="Arial"/>
          <w:sz w:val="22"/>
        </w:rPr>
        <w:t>.</w:t>
      </w:r>
    </w:p>
    <w:p w14:paraId="5D7348EA" w14:textId="4E9C9197" w:rsidR="0096172E" w:rsidRDefault="00482B46" w:rsidP="00D43F2C">
      <w:pPr>
        <w:pStyle w:val="Heading2"/>
      </w:pPr>
      <w:bookmarkStart w:id="18" w:name="_Toc430854505"/>
      <w:r>
        <w:lastRenderedPageBreak/>
        <w:t>6</w:t>
      </w:r>
      <w:r w:rsidR="00AC4BBD" w:rsidRPr="00FD51EC">
        <w:t>.1</w:t>
      </w:r>
      <w:r w:rsidR="00AC4BBD" w:rsidRPr="00FD51EC">
        <w:tab/>
      </w:r>
      <w:r w:rsidR="00C83C9A">
        <w:t>M</w:t>
      </w:r>
      <w:r w:rsidR="0096172E" w:rsidRPr="00FD51EC">
        <w:t>ethodology</w:t>
      </w:r>
      <w:bookmarkEnd w:id="18"/>
      <w:r w:rsidR="0096172E" w:rsidRPr="00FD51EC">
        <w:t xml:space="preserve"> </w:t>
      </w:r>
    </w:p>
    <w:p w14:paraId="4734C5FF" w14:textId="730CB41E" w:rsidR="00355A15" w:rsidRPr="00355A15" w:rsidRDefault="00355A15" w:rsidP="00622A8C">
      <w:pPr>
        <w:pStyle w:val="Heading3"/>
      </w:pPr>
      <w:bookmarkStart w:id="19" w:name="_Toc430854506"/>
      <w:r>
        <w:t>6.1.1</w:t>
      </w:r>
      <w:r>
        <w:tab/>
        <w:t>Calculations required to estimate iodine intakes</w:t>
      </w:r>
      <w:bookmarkEnd w:id="19"/>
    </w:p>
    <w:p w14:paraId="5063D997" w14:textId="1DC27BB6" w:rsidR="00355A15" w:rsidRDefault="00E360C1" w:rsidP="00CC5193">
      <w:pPr>
        <w:rPr>
          <w:rFonts w:ascii="Arial" w:hAnsi="Arial" w:cs="Arial"/>
          <w:sz w:val="22"/>
        </w:rPr>
      </w:pPr>
      <w:r w:rsidRPr="00FD51EC">
        <w:rPr>
          <w:rFonts w:ascii="Arial" w:hAnsi="Arial" w:cs="Arial"/>
          <w:sz w:val="22"/>
        </w:rPr>
        <w:t>Dietary intake assessment</w:t>
      </w:r>
      <w:r w:rsidR="00BC4A93" w:rsidRPr="00FD51EC">
        <w:rPr>
          <w:rFonts w:ascii="Arial" w:hAnsi="Arial" w:cs="Arial"/>
          <w:sz w:val="22"/>
        </w:rPr>
        <w:t xml:space="preserve"> require</w:t>
      </w:r>
      <w:r w:rsidRPr="00FD51EC">
        <w:rPr>
          <w:rFonts w:ascii="Arial" w:hAnsi="Arial" w:cs="Arial"/>
          <w:sz w:val="22"/>
        </w:rPr>
        <w:t>s</w:t>
      </w:r>
      <w:r w:rsidR="00BC4A93" w:rsidRPr="00FD51EC">
        <w:rPr>
          <w:rFonts w:ascii="Arial" w:hAnsi="Arial" w:cs="Arial"/>
          <w:sz w:val="22"/>
        </w:rPr>
        <w:t xml:space="preserve"> data on concentrations of the nutrient of interest</w:t>
      </w:r>
      <w:r w:rsidR="00404DFF">
        <w:rPr>
          <w:rFonts w:ascii="Arial" w:hAnsi="Arial" w:cs="Arial"/>
          <w:sz w:val="22"/>
        </w:rPr>
        <w:t xml:space="preserve"> (iodine)</w:t>
      </w:r>
      <w:r w:rsidR="00BC4A93" w:rsidRPr="00FD51EC">
        <w:rPr>
          <w:rFonts w:ascii="Arial" w:hAnsi="Arial" w:cs="Arial"/>
          <w:sz w:val="22"/>
        </w:rPr>
        <w:t xml:space="preserve"> in the foods consumed, and </w:t>
      </w:r>
      <w:r w:rsidR="000B1CA1" w:rsidRPr="00FD51EC">
        <w:rPr>
          <w:rFonts w:ascii="Arial" w:hAnsi="Arial" w:cs="Arial"/>
          <w:sz w:val="22"/>
        </w:rPr>
        <w:t xml:space="preserve">food </w:t>
      </w:r>
      <w:r w:rsidR="00BC4A93" w:rsidRPr="00FD51EC">
        <w:rPr>
          <w:rFonts w:ascii="Arial" w:hAnsi="Arial" w:cs="Arial"/>
          <w:sz w:val="22"/>
        </w:rPr>
        <w:t>consumption data that have been collected through a national nutrition survey.</w:t>
      </w:r>
      <w:r w:rsidRPr="00FD51EC">
        <w:rPr>
          <w:rFonts w:ascii="Arial" w:hAnsi="Arial" w:cs="Arial"/>
          <w:sz w:val="22"/>
        </w:rPr>
        <w:t xml:space="preserve"> To estimate the Australian population’s intake of dietary iodine following mandatory iodine fortification of bread, </w:t>
      </w:r>
      <w:r w:rsidR="00FF4051" w:rsidRPr="00FD51EC">
        <w:rPr>
          <w:rFonts w:ascii="Arial" w:hAnsi="Arial" w:cs="Arial"/>
          <w:sz w:val="22"/>
        </w:rPr>
        <w:t xml:space="preserve">FSANZ used </w:t>
      </w:r>
      <w:r w:rsidRPr="00FD51EC">
        <w:rPr>
          <w:rFonts w:ascii="Arial" w:hAnsi="Arial" w:cs="Arial"/>
          <w:sz w:val="22"/>
        </w:rPr>
        <w:t>the analytical results from the bread survey</w:t>
      </w:r>
      <w:r w:rsidR="00650AD0" w:rsidRPr="00FD51EC">
        <w:rPr>
          <w:rFonts w:ascii="Arial" w:hAnsi="Arial" w:cs="Arial"/>
          <w:sz w:val="22"/>
        </w:rPr>
        <w:t>s</w:t>
      </w:r>
      <w:r w:rsidRPr="00FD51EC">
        <w:rPr>
          <w:rFonts w:ascii="Arial" w:hAnsi="Arial" w:cs="Arial"/>
          <w:sz w:val="22"/>
        </w:rPr>
        <w:t xml:space="preserve"> and food consumption data from the 1995 National Nutrition Survey (1995 NNS) </w:t>
      </w:r>
      <w:r w:rsidR="00355A15">
        <w:rPr>
          <w:rFonts w:ascii="Arial" w:hAnsi="Arial" w:cs="Arial"/>
          <w:sz w:val="22"/>
        </w:rPr>
        <w:t xml:space="preserve">for estimating iodine intakes for adults </w:t>
      </w:r>
      <w:r w:rsidRPr="00FD51EC">
        <w:rPr>
          <w:rFonts w:ascii="Arial" w:hAnsi="Arial" w:cs="Arial"/>
          <w:sz w:val="22"/>
        </w:rPr>
        <w:t>and the 2007</w:t>
      </w:r>
      <w:r w:rsidR="00FF4051" w:rsidRPr="00FD51EC">
        <w:rPr>
          <w:rFonts w:ascii="Arial" w:hAnsi="Arial" w:cs="Arial"/>
          <w:sz w:val="22"/>
        </w:rPr>
        <w:t xml:space="preserve"> Children’s Nutrition and Physical </w:t>
      </w:r>
      <w:r w:rsidR="001B456B">
        <w:rPr>
          <w:rFonts w:ascii="Arial" w:hAnsi="Arial" w:cs="Arial"/>
          <w:sz w:val="22"/>
        </w:rPr>
        <w:t>Activity Survey (2007 ANCNAPS)</w:t>
      </w:r>
      <w:r w:rsidR="00355A15">
        <w:rPr>
          <w:rFonts w:ascii="Arial" w:hAnsi="Arial" w:cs="Arial"/>
          <w:sz w:val="22"/>
        </w:rPr>
        <w:t xml:space="preserve"> for children aged 2-16 years of age</w:t>
      </w:r>
      <w:r w:rsidR="001B456B">
        <w:rPr>
          <w:rFonts w:ascii="Arial" w:hAnsi="Arial" w:cs="Arial"/>
          <w:sz w:val="22"/>
        </w:rPr>
        <w:t>.</w:t>
      </w:r>
      <w:r w:rsidR="00355A15">
        <w:rPr>
          <w:rFonts w:ascii="Arial" w:hAnsi="Arial" w:cs="Arial"/>
          <w:sz w:val="22"/>
        </w:rPr>
        <w:t xml:space="preserve"> </w:t>
      </w:r>
    </w:p>
    <w:p w14:paraId="5D7348EB" w14:textId="53CD70EF" w:rsidR="00BC4A93" w:rsidRPr="009C642B" w:rsidRDefault="00355A15" w:rsidP="00CC5193">
      <w:pPr>
        <w:rPr>
          <w:rFonts w:ascii="Arial" w:hAnsi="Arial" w:cs="Arial"/>
          <w:sz w:val="22"/>
        </w:rPr>
      </w:pPr>
      <w:r w:rsidRPr="00C43C06">
        <w:rPr>
          <w:rFonts w:ascii="Arial" w:hAnsi="Arial" w:cs="Arial"/>
          <w:sz w:val="22"/>
        </w:rPr>
        <w:t xml:space="preserve">The bread survey data was used to revise the </w:t>
      </w:r>
      <w:r w:rsidR="001020DB">
        <w:rPr>
          <w:rFonts w:ascii="Arial" w:hAnsi="Arial" w:cs="Arial"/>
          <w:sz w:val="22"/>
        </w:rPr>
        <w:t xml:space="preserve">iodine </w:t>
      </w:r>
      <w:r w:rsidRPr="00C43C06">
        <w:rPr>
          <w:rFonts w:ascii="Arial" w:hAnsi="Arial" w:cs="Arial"/>
          <w:sz w:val="22"/>
        </w:rPr>
        <w:t>content of foods coded as bread, contained bread (</w:t>
      </w:r>
      <w:proofErr w:type="spellStart"/>
      <w:r w:rsidRPr="00C43C06">
        <w:rPr>
          <w:rFonts w:ascii="Arial" w:hAnsi="Arial" w:cs="Arial"/>
          <w:sz w:val="22"/>
        </w:rPr>
        <w:t>e</w:t>
      </w:r>
      <w:r>
        <w:rPr>
          <w:rFonts w:ascii="Arial" w:hAnsi="Arial" w:cs="Arial"/>
          <w:sz w:val="22"/>
        </w:rPr>
        <w:t>.</w:t>
      </w:r>
      <w:r w:rsidRPr="00C43C06">
        <w:rPr>
          <w:rFonts w:ascii="Arial" w:hAnsi="Arial" w:cs="Arial"/>
          <w:sz w:val="22"/>
        </w:rPr>
        <w:t>g</w:t>
      </w:r>
      <w:proofErr w:type="spellEnd"/>
      <w:r w:rsidRPr="00C43C06">
        <w:rPr>
          <w:rFonts w:ascii="Arial" w:hAnsi="Arial" w:cs="Arial"/>
          <w:sz w:val="22"/>
        </w:rPr>
        <w:t xml:space="preserve"> iced bun), or were mixed dishes that contained components made of bread for the post-fortification calculations. </w:t>
      </w:r>
      <w:r w:rsidRPr="009C642B">
        <w:rPr>
          <w:rFonts w:ascii="Arial" w:hAnsi="Arial" w:cs="Arial"/>
          <w:sz w:val="22"/>
        </w:rPr>
        <w:t xml:space="preserve">The nutrient content of other foods that </w:t>
      </w:r>
      <w:r w:rsidR="001020DB" w:rsidRPr="009C642B">
        <w:rPr>
          <w:rFonts w:ascii="Arial" w:hAnsi="Arial" w:cs="Arial"/>
          <w:sz w:val="22"/>
        </w:rPr>
        <w:t>may contain iodine</w:t>
      </w:r>
      <w:r w:rsidRPr="009C642B">
        <w:rPr>
          <w:rFonts w:ascii="Arial" w:hAnsi="Arial" w:cs="Arial"/>
          <w:sz w:val="22"/>
        </w:rPr>
        <w:t xml:space="preserve"> were also updated for the post-fortification </w:t>
      </w:r>
      <w:r w:rsidR="00E976CA" w:rsidRPr="009C642B">
        <w:rPr>
          <w:rFonts w:ascii="Arial" w:hAnsi="Arial" w:cs="Arial"/>
          <w:sz w:val="22"/>
        </w:rPr>
        <w:t>iodine</w:t>
      </w:r>
      <w:r w:rsidRPr="009C642B">
        <w:rPr>
          <w:rFonts w:ascii="Arial" w:hAnsi="Arial" w:cs="Arial"/>
          <w:sz w:val="22"/>
        </w:rPr>
        <w:t xml:space="preserve"> intake calculations, using the Australian food composition database, prepared for the 2007 ANCNPAS.</w:t>
      </w:r>
    </w:p>
    <w:p w14:paraId="5D7348EC" w14:textId="0876356E" w:rsidR="00252388" w:rsidRDefault="00DD68DD" w:rsidP="00CC5193">
      <w:pPr>
        <w:rPr>
          <w:rFonts w:ascii="Arial" w:hAnsi="Arial" w:cs="Arial"/>
          <w:color w:val="000000" w:themeColor="text1"/>
          <w:sz w:val="22"/>
        </w:rPr>
      </w:pPr>
      <w:r>
        <w:rPr>
          <w:rFonts w:ascii="Arial" w:hAnsi="Arial" w:cs="Arial"/>
          <w:sz w:val="22"/>
        </w:rPr>
        <w:t>It is best practice to compare u</w:t>
      </w:r>
      <w:r w:rsidRPr="00C722EE">
        <w:rPr>
          <w:rFonts w:ascii="Arial" w:hAnsi="Arial" w:cs="Arial"/>
          <w:sz w:val="22"/>
        </w:rPr>
        <w:t xml:space="preserve">sual nutrient intakes </w:t>
      </w:r>
      <w:r>
        <w:rPr>
          <w:rFonts w:ascii="Arial" w:hAnsi="Arial" w:cs="Arial"/>
          <w:color w:val="000000"/>
          <w:sz w:val="22"/>
        </w:rPr>
        <w:t>to</w:t>
      </w:r>
      <w:r w:rsidRPr="00C722EE">
        <w:rPr>
          <w:rFonts w:ascii="Arial" w:hAnsi="Arial" w:cs="Arial"/>
          <w:color w:val="000000"/>
          <w:sz w:val="22"/>
        </w:rPr>
        <w:t xml:space="preserve"> current Nutrient Reference Values (NRVs) for </w:t>
      </w:r>
      <w:r>
        <w:rPr>
          <w:rFonts w:ascii="Arial" w:hAnsi="Arial" w:cs="Arial"/>
          <w:color w:val="000000"/>
          <w:sz w:val="22"/>
        </w:rPr>
        <w:t>nutrients</w:t>
      </w:r>
      <w:r w:rsidRPr="00C722EE">
        <w:rPr>
          <w:rFonts w:ascii="Arial" w:hAnsi="Arial" w:cs="Arial"/>
          <w:color w:val="000000"/>
          <w:sz w:val="22"/>
        </w:rPr>
        <w:t xml:space="preserve">. </w:t>
      </w:r>
      <w:r w:rsidRPr="00C722EE">
        <w:rPr>
          <w:rFonts w:ascii="Arial" w:hAnsi="Arial" w:cs="Arial"/>
          <w:sz w:val="22"/>
        </w:rPr>
        <w:t xml:space="preserve">Usual intakes are an estimate of what people ‘usually’ eat, as opposed to what they reported eating on the particular days they were surveyed. </w:t>
      </w:r>
      <w:r w:rsidR="00C83C9A">
        <w:rPr>
          <w:rFonts w:ascii="Arial" w:hAnsi="Arial" w:cs="Arial"/>
          <w:sz w:val="22"/>
        </w:rPr>
        <w:t xml:space="preserve">The </w:t>
      </w:r>
      <w:proofErr w:type="gramStart"/>
      <w:r w:rsidR="00C83C9A">
        <w:rPr>
          <w:rFonts w:ascii="Arial" w:hAnsi="Arial" w:cs="Arial"/>
          <w:sz w:val="22"/>
        </w:rPr>
        <w:t xml:space="preserve">methodology involved </w:t>
      </w:r>
      <w:r w:rsidR="003D1B88" w:rsidRPr="00FD51EC">
        <w:rPr>
          <w:rFonts w:ascii="Arial" w:hAnsi="Arial" w:cs="Arial"/>
          <w:sz w:val="22"/>
        </w:rPr>
        <w:t>use</w:t>
      </w:r>
      <w:proofErr w:type="gramEnd"/>
      <w:r w:rsidR="003D1B88" w:rsidRPr="00FD51EC">
        <w:rPr>
          <w:rFonts w:ascii="Arial" w:hAnsi="Arial" w:cs="Arial"/>
          <w:sz w:val="22"/>
        </w:rPr>
        <w:t xml:space="preserve"> of the 2</w:t>
      </w:r>
      <w:r w:rsidR="003D1B88" w:rsidRPr="00FD51EC">
        <w:rPr>
          <w:rFonts w:ascii="Arial" w:hAnsi="Arial" w:cs="Arial"/>
          <w:sz w:val="22"/>
          <w:vertAlign w:val="superscript"/>
        </w:rPr>
        <w:t>nd</w:t>
      </w:r>
      <w:r w:rsidR="003D1B88" w:rsidRPr="00FD51EC">
        <w:rPr>
          <w:rFonts w:ascii="Arial" w:hAnsi="Arial" w:cs="Arial"/>
          <w:sz w:val="22"/>
        </w:rPr>
        <w:t xml:space="preserve"> day </w:t>
      </w:r>
      <w:r w:rsidR="002C2858">
        <w:rPr>
          <w:rFonts w:ascii="Arial" w:hAnsi="Arial" w:cs="Arial"/>
          <w:sz w:val="22"/>
        </w:rPr>
        <w:t xml:space="preserve">statistical </w:t>
      </w:r>
      <w:r w:rsidR="003D1B88" w:rsidRPr="00FD51EC">
        <w:rPr>
          <w:rFonts w:ascii="Arial" w:hAnsi="Arial" w:cs="Arial"/>
          <w:sz w:val="22"/>
        </w:rPr>
        <w:t>adjust</w:t>
      </w:r>
      <w:r w:rsidR="002C2858">
        <w:rPr>
          <w:rFonts w:ascii="Arial" w:hAnsi="Arial" w:cs="Arial"/>
          <w:sz w:val="22"/>
        </w:rPr>
        <w:t>ment</w:t>
      </w:r>
      <w:r w:rsidR="003D1B88" w:rsidRPr="00FD51EC">
        <w:rPr>
          <w:rFonts w:ascii="Arial" w:hAnsi="Arial" w:cs="Arial"/>
          <w:sz w:val="22"/>
        </w:rPr>
        <w:t xml:space="preserve"> method </w:t>
      </w:r>
      <w:r w:rsidR="002E5EE8">
        <w:rPr>
          <w:rFonts w:ascii="Arial" w:hAnsi="Arial" w:cs="Arial"/>
          <w:sz w:val="22"/>
        </w:rPr>
        <w:t>that ac</w:t>
      </w:r>
      <w:r w:rsidR="004A0417">
        <w:rPr>
          <w:rFonts w:ascii="Arial" w:hAnsi="Arial" w:cs="Arial"/>
          <w:sz w:val="22"/>
        </w:rPr>
        <w:t>c</w:t>
      </w:r>
      <w:r w:rsidR="002E5EE8">
        <w:rPr>
          <w:rFonts w:ascii="Arial" w:hAnsi="Arial" w:cs="Arial"/>
          <w:sz w:val="22"/>
        </w:rPr>
        <w:t xml:space="preserve">ounts for intra-individual variation </w:t>
      </w:r>
      <w:r w:rsidR="003D1B88" w:rsidRPr="00FD51EC">
        <w:rPr>
          <w:rFonts w:ascii="Arial" w:hAnsi="Arial" w:cs="Arial"/>
          <w:sz w:val="22"/>
        </w:rPr>
        <w:t xml:space="preserve">and a custom model that </w:t>
      </w:r>
      <w:r w:rsidR="000B1CA1" w:rsidRPr="00FD51EC">
        <w:rPr>
          <w:rFonts w:ascii="Arial" w:hAnsi="Arial" w:cs="Arial"/>
          <w:sz w:val="22"/>
        </w:rPr>
        <w:t>use</w:t>
      </w:r>
      <w:r w:rsidR="00704C5D">
        <w:rPr>
          <w:rFonts w:ascii="Arial" w:hAnsi="Arial" w:cs="Arial"/>
          <w:sz w:val="22"/>
        </w:rPr>
        <w:t>d</w:t>
      </w:r>
      <w:r w:rsidR="000B1CA1" w:rsidRPr="00FD51EC">
        <w:rPr>
          <w:rFonts w:ascii="Arial" w:hAnsi="Arial" w:cs="Arial"/>
          <w:sz w:val="22"/>
        </w:rPr>
        <w:t xml:space="preserve"> </w:t>
      </w:r>
      <w:r w:rsidR="002C59A7" w:rsidRPr="00FD51EC">
        <w:rPr>
          <w:rFonts w:ascii="Arial" w:hAnsi="Arial" w:cs="Arial"/>
          <w:sz w:val="22"/>
        </w:rPr>
        <w:t>recipes</w:t>
      </w:r>
      <w:r w:rsidR="003D1B88" w:rsidRPr="00FD51EC">
        <w:rPr>
          <w:rFonts w:ascii="Arial" w:hAnsi="Arial" w:cs="Arial"/>
          <w:sz w:val="22"/>
        </w:rPr>
        <w:t>. The recipe</w:t>
      </w:r>
      <w:r w:rsidR="000B1CA1" w:rsidRPr="00FD51EC">
        <w:rPr>
          <w:rFonts w:ascii="Arial" w:hAnsi="Arial" w:cs="Arial"/>
          <w:sz w:val="22"/>
        </w:rPr>
        <w:t xml:space="preserve"> approach enabled </w:t>
      </w:r>
      <w:r w:rsidR="00FF4051" w:rsidRPr="00FD51EC">
        <w:rPr>
          <w:rFonts w:ascii="Arial" w:hAnsi="Arial" w:cs="Arial"/>
          <w:sz w:val="22"/>
        </w:rPr>
        <w:t>the capture of amounts of iodine consumed through use of</w:t>
      </w:r>
      <w:r w:rsidR="002C59A7" w:rsidRPr="00FD51EC">
        <w:rPr>
          <w:rFonts w:ascii="Arial" w:hAnsi="Arial" w:cs="Arial"/>
          <w:sz w:val="22"/>
        </w:rPr>
        <w:t xml:space="preserve"> discretionary </w:t>
      </w:r>
      <w:r w:rsidR="003D1B88" w:rsidRPr="00FD51EC">
        <w:rPr>
          <w:rFonts w:ascii="Arial" w:hAnsi="Arial" w:cs="Arial"/>
          <w:sz w:val="22"/>
        </w:rPr>
        <w:t xml:space="preserve">iodised </w:t>
      </w:r>
      <w:r w:rsidR="002C59A7" w:rsidRPr="00FD51EC">
        <w:rPr>
          <w:rFonts w:ascii="Arial" w:hAnsi="Arial" w:cs="Arial"/>
          <w:sz w:val="22"/>
        </w:rPr>
        <w:t>salt</w:t>
      </w:r>
      <w:r w:rsidR="00FF4051" w:rsidRPr="00FD51EC">
        <w:rPr>
          <w:rFonts w:ascii="Arial" w:hAnsi="Arial" w:cs="Arial"/>
          <w:sz w:val="22"/>
        </w:rPr>
        <w:t>, mixed foods containing bread</w:t>
      </w:r>
      <w:r w:rsidR="002C59A7" w:rsidRPr="00FD51EC">
        <w:rPr>
          <w:rFonts w:ascii="Arial" w:hAnsi="Arial" w:cs="Arial"/>
          <w:sz w:val="22"/>
        </w:rPr>
        <w:t>, foods with naturally occurring iodine</w:t>
      </w:r>
      <w:r w:rsidR="00650AD0" w:rsidRPr="00FD51EC">
        <w:rPr>
          <w:rFonts w:ascii="Arial" w:hAnsi="Arial" w:cs="Arial"/>
          <w:sz w:val="22"/>
        </w:rPr>
        <w:t>,</w:t>
      </w:r>
      <w:r w:rsidR="002C59A7" w:rsidRPr="00FD51EC">
        <w:rPr>
          <w:rFonts w:ascii="Arial" w:hAnsi="Arial" w:cs="Arial"/>
          <w:sz w:val="22"/>
        </w:rPr>
        <w:t xml:space="preserve"> </w:t>
      </w:r>
      <w:r w:rsidR="003D1B88" w:rsidRPr="00FD51EC">
        <w:rPr>
          <w:rFonts w:ascii="Arial" w:hAnsi="Arial" w:cs="Arial"/>
          <w:sz w:val="22"/>
        </w:rPr>
        <w:t>in addition to iodine f</w:t>
      </w:r>
      <w:r w:rsidR="002C59A7" w:rsidRPr="00FD51EC">
        <w:rPr>
          <w:rFonts w:ascii="Arial" w:hAnsi="Arial" w:cs="Arial"/>
          <w:sz w:val="22"/>
        </w:rPr>
        <w:t>rom bread.</w:t>
      </w:r>
      <w:r w:rsidR="00FF4051" w:rsidRPr="00FD51EC">
        <w:rPr>
          <w:rFonts w:ascii="Arial" w:hAnsi="Arial" w:cs="Arial"/>
          <w:sz w:val="22"/>
        </w:rPr>
        <w:t xml:space="preserve"> </w:t>
      </w:r>
      <w:r w:rsidR="00650AD0" w:rsidRPr="00FD51EC">
        <w:rPr>
          <w:rFonts w:ascii="Arial" w:hAnsi="Arial" w:cs="Arial"/>
          <w:sz w:val="22"/>
        </w:rPr>
        <w:t>To capture</w:t>
      </w:r>
      <w:r w:rsidR="000B1CA1" w:rsidRPr="00FD51EC">
        <w:rPr>
          <w:rFonts w:ascii="Arial" w:hAnsi="Arial" w:cs="Arial"/>
          <w:sz w:val="22"/>
        </w:rPr>
        <w:t xml:space="preserve"> the iodine contributed to dietary iodine intake from </w:t>
      </w:r>
      <w:r w:rsidR="002C59A7" w:rsidRPr="00FD51EC">
        <w:rPr>
          <w:rFonts w:ascii="Arial" w:hAnsi="Arial" w:cs="Arial"/>
          <w:sz w:val="22"/>
        </w:rPr>
        <w:t xml:space="preserve">use of </w:t>
      </w:r>
      <w:r w:rsidR="000B1CA1" w:rsidRPr="00FD51EC">
        <w:rPr>
          <w:rFonts w:ascii="Arial" w:hAnsi="Arial" w:cs="Arial"/>
          <w:sz w:val="22"/>
        </w:rPr>
        <w:t xml:space="preserve">discretionary </w:t>
      </w:r>
      <w:r w:rsidR="002C59A7" w:rsidRPr="00FD51EC">
        <w:rPr>
          <w:rFonts w:ascii="Arial" w:hAnsi="Arial" w:cs="Arial"/>
          <w:sz w:val="22"/>
        </w:rPr>
        <w:t xml:space="preserve">iodised </w:t>
      </w:r>
      <w:r w:rsidR="000B1CA1" w:rsidRPr="00FD51EC">
        <w:rPr>
          <w:rFonts w:ascii="Arial" w:hAnsi="Arial" w:cs="Arial"/>
          <w:sz w:val="22"/>
        </w:rPr>
        <w:t xml:space="preserve">salt, </w:t>
      </w:r>
      <w:r w:rsidR="009610C2">
        <w:rPr>
          <w:rFonts w:ascii="Arial" w:hAnsi="Arial" w:cs="Arial"/>
          <w:sz w:val="22"/>
        </w:rPr>
        <w:t xml:space="preserve">a set addition of </w:t>
      </w:r>
      <w:r w:rsidR="002C59A7" w:rsidRPr="00FD51EC">
        <w:rPr>
          <w:rFonts w:ascii="Arial" w:hAnsi="Arial" w:cs="Arial"/>
          <w:sz w:val="22"/>
        </w:rPr>
        <w:t>iodised table salt</w:t>
      </w:r>
      <w:r w:rsidR="009610C2">
        <w:rPr>
          <w:rFonts w:ascii="Arial" w:hAnsi="Arial" w:cs="Arial"/>
          <w:sz w:val="22"/>
        </w:rPr>
        <w:t>,</w:t>
      </w:r>
      <w:r w:rsidR="002C59A7" w:rsidRPr="00FD51EC">
        <w:rPr>
          <w:rFonts w:ascii="Arial" w:hAnsi="Arial" w:cs="Arial"/>
          <w:sz w:val="22"/>
        </w:rPr>
        <w:t xml:space="preserve"> assigned a value of </w:t>
      </w:r>
      <w:r w:rsidR="000B1CA1" w:rsidRPr="00FD51EC">
        <w:rPr>
          <w:rFonts w:ascii="Arial" w:hAnsi="Arial" w:cs="Arial"/>
          <w:sz w:val="22"/>
        </w:rPr>
        <w:t>45 mg of iodine per kilogram of salt</w:t>
      </w:r>
      <w:r w:rsidR="002C59A7" w:rsidRPr="00FD51EC">
        <w:rPr>
          <w:rFonts w:ascii="Arial" w:hAnsi="Arial" w:cs="Arial"/>
          <w:sz w:val="22"/>
        </w:rPr>
        <w:t xml:space="preserve"> (the mid-point of </w:t>
      </w:r>
      <w:r w:rsidR="00404DFF">
        <w:rPr>
          <w:rFonts w:ascii="Arial" w:hAnsi="Arial" w:cs="Arial"/>
          <w:sz w:val="22"/>
        </w:rPr>
        <w:t xml:space="preserve">the food standard for </w:t>
      </w:r>
      <w:r w:rsidR="002C59A7" w:rsidRPr="00FD51EC">
        <w:rPr>
          <w:rFonts w:ascii="Arial" w:hAnsi="Arial" w:cs="Arial"/>
          <w:sz w:val="22"/>
        </w:rPr>
        <w:t>salt iodisation)</w:t>
      </w:r>
      <w:r w:rsidR="009610C2">
        <w:rPr>
          <w:rFonts w:ascii="Arial" w:hAnsi="Arial" w:cs="Arial"/>
          <w:sz w:val="22"/>
        </w:rPr>
        <w:t>, was included in some models</w:t>
      </w:r>
      <w:r w:rsidR="000B1CA1" w:rsidRPr="00FD51EC">
        <w:rPr>
          <w:rFonts w:ascii="Arial" w:hAnsi="Arial" w:cs="Arial"/>
          <w:sz w:val="22"/>
        </w:rPr>
        <w:t xml:space="preserve">. </w:t>
      </w:r>
      <w:r w:rsidR="009610C2">
        <w:rPr>
          <w:rFonts w:ascii="Arial" w:hAnsi="Arial" w:cs="Arial"/>
          <w:color w:val="000000" w:themeColor="text1"/>
          <w:sz w:val="22"/>
        </w:rPr>
        <w:t>A</w:t>
      </w:r>
      <w:r w:rsidR="003D1B88" w:rsidRPr="00404DFF">
        <w:rPr>
          <w:rFonts w:ascii="Arial" w:hAnsi="Arial" w:cs="Arial"/>
          <w:color w:val="000000" w:themeColor="text1"/>
          <w:sz w:val="22"/>
        </w:rPr>
        <w:t xml:space="preserve"> market weighted model (representing the mid-point of the population’s consumption of iodised foods) and </w:t>
      </w:r>
      <w:r w:rsidR="009610C2">
        <w:rPr>
          <w:rFonts w:ascii="Arial" w:hAnsi="Arial" w:cs="Arial"/>
          <w:color w:val="000000" w:themeColor="text1"/>
          <w:sz w:val="22"/>
        </w:rPr>
        <w:t>a</w:t>
      </w:r>
      <w:r w:rsidR="00940434">
        <w:rPr>
          <w:rFonts w:ascii="Arial" w:hAnsi="Arial" w:cs="Arial"/>
          <w:color w:val="000000" w:themeColor="text1"/>
          <w:sz w:val="22"/>
        </w:rPr>
        <w:t xml:space="preserve"> </w:t>
      </w:r>
      <w:r w:rsidR="003D1B88" w:rsidRPr="00404DFF">
        <w:rPr>
          <w:rFonts w:ascii="Arial" w:hAnsi="Arial" w:cs="Arial"/>
          <w:color w:val="000000" w:themeColor="text1"/>
          <w:sz w:val="22"/>
        </w:rPr>
        <w:t xml:space="preserve">consumer behaviour model (representing the polarity in the population’s consumption of discretionary iodised salt) </w:t>
      </w:r>
      <w:r w:rsidR="009610C2">
        <w:rPr>
          <w:rFonts w:ascii="Arial" w:hAnsi="Arial" w:cs="Arial"/>
          <w:color w:val="000000" w:themeColor="text1"/>
          <w:sz w:val="22"/>
        </w:rPr>
        <w:t xml:space="preserve">were run </w:t>
      </w:r>
      <w:r w:rsidR="003D1B88" w:rsidRPr="00404DFF">
        <w:rPr>
          <w:rFonts w:ascii="Arial" w:hAnsi="Arial" w:cs="Arial"/>
          <w:color w:val="000000" w:themeColor="text1"/>
          <w:sz w:val="22"/>
        </w:rPr>
        <w:t>to determine the iodine intake levels before and after fortification.</w:t>
      </w:r>
      <w:r w:rsidR="00252388">
        <w:rPr>
          <w:rFonts w:ascii="Arial" w:hAnsi="Arial" w:cs="Arial"/>
          <w:color w:val="000000" w:themeColor="text1"/>
          <w:sz w:val="22"/>
        </w:rPr>
        <w:t xml:space="preserve"> </w:t>
      </w:r>
      <w:r w:rsidR="00913EFE" w:rsidRPr="00913EFE">
        <w:rPr>
          <w:rFonts w:ascii="Arial" w:hAnsi="Arial" w:cs="Arial"/>
          <w:sz w:val="22"/>
        </w:rPr>
        <w:t>Detailed information on</w:t>
      </w:r>
      <w:r w:rsidR="00252388" w:rsidRPr="00913EFE">
        <w:rPr>
          <w:rFonts w:ascii="Arial" w:hAnsi="Arial" w:cs="Arial"/>
          <w:sz w:val="22"/>
        </w:rPr>
        <w:t xml:space="preserve"> FSANZ’s dietary modelling principles and practices are available on the FSANZ website at</w:t>
      </w:r>
      <w:r w:rsidR="00913EFE">
        <w:t>:</w:t>
      </w:r>
      <w:r w:rsidR="00252388" w:rsidRPr="00913EFE">
        <w:t xml:space="preserve"> </w:t>
      </w:r>
      <w:hyperlink r:id="rId16" w:history="1">
        <w:r w:rsidR="00252388" w:rsidRPr="00BD14FA">
          <w:rPr>
            <w:rStyle w:val="Hyperlink"/>
            <w:rFonts w:ascii="Arial" w:hAnsi="Arial" w:cs="Arial"/>
            <w:sz w:val="22"/>
          </w:rPr>
          <w:t>http://www.foodstandards.gov.au/science/exposure/Documents/Principles%20_%20practices%20exposure%20assessment%202009.pdf</w:t>
        </w:r>
      </w:hyperlink>
    </w:p>
    <w:p w14:paraId="5D7348ED" w14:textId="77777777" w:rsidR="00EC7442" w:rsidRDefault="002C59A7" w:rsidP="00EC7442">
      <w:pPr>
        <w:rPr>
          <w:rFonts w:ascii="Arial" w:hAnsi="Arial" w:cs="Arial"/>
          <w:sz w:val="22"/>
        </w:rPr>
      </w:pPr>
      <w:r w:rsidRPr="00FD51EC">
        <w:rPr>
          <w:rFonts w:ascii="Arial" w:hAnsi="Arial" w:cs="Arial"/>
          <w:sz w:val="22"/>
        </w:rPr>
        <w:t>The model was run through</w:t>
      </w:r>
      <w:r w:rsidR="000B1CA1" w:rsidRPr="00FD51EC">
        <w:rPr>
          <w:rFonts w:ascii="Arial" w:hAnsi="Arial" w:cs="Arial"/>
          <w:sz w:val="22"/>
        </w:rPr>
        <w:t xml:space="preserve"> DIAMOND</w:t>
      </w:r>
      <w:r w:rsidR="003D1B88" w:rsidRPr="00FD51EC">
        <w:rPr>
          <w:rFonts w:ascii="Arial" w:hAnsi="Arial" w:cs="Arial"/>
          <w:sz w:val="22"/>
        </w:rPr>
        <w:t xml:space="preserve"> (FSANZ custom-developed computer program)</w:t>
      </w:r>
      <w:r w:rsidR="000B1CA1" w:rsidRPr="00FD51EC">
        <w:rPr>
          <w:rFonts w:ascii="Arial" w:hAnsi="Arial" w:cs="Arial"/>
          <w:sz w:val="22"/>
        </w:rPr>
        <w:t xml:space="preserve"> to </w:t>
      </w:r>
      <w:r w:rsidR="00650AD0" w:rsidRPr="00FD51EC">
        <w:rPr>
          <w:rFonts w:ascii="Arial" w:hAnsi="Arial" w:cs="Arial"/>
          <w:sz w:val="22"/>
        </w:rPr>
        <w:t>determine</w:t>
      </w:r>
      <w:r w:rsidR="000B1CA1" w:rsidRPr="00FD51EC">
        <w:rPr>
          <w:rFonts w:ascii="Arial" w:hAnsi="Arial" w:cs="Arial"/>
          <w:sz w:val="22"/>
        </w:rPr>
        <w:t xml:space="preserve"> the total amount of iodine consumed by each individual respondent</w:t>
      </w:r>
      <w:r w:rsidR="00443BA8" w:rsidRPr="00FD51EC">
        <w:rPr>
          <w:rFonts w:ascii="Arial" w:hAnsi="Arial" w:cs="Arial"/>
          <w:sz w:val="22"/>
        </w:rPr>
        <w:t xml:space="preserve"> </w:t>
      </w:r>
      <w:r w:rsidR="00BE5417" w:rsidRPr="00FD51EC">
        <w:rPr>
          <w:rFonts w:ascii="Arial" w:hAnsi="Arial" w:cs="Arial"/>
          <w:sz w:val="22"/>
        </w:rPr>
        <w:t xml:space="preserve">using </w:t>
      </w:r>
      <w:r w:rsidR="00650AD0" w:rsidRPr="00FD51EC">
        <w:rPr>
          <w:rFonts w:ascii="Arial" w:hAnsi="Arial" w:cs="Arial"/>
          <w:sz w:val="22"/>
        </w:rPr>
        <w:t xml:space="preserve">food consumption data from the </w:t>
      </w:r>
      <w:r w:rsidR="00BE5417" w:rsidRPr="00FD51EC">
        <w:rPr>
          <w:rFonts w:ascii="Arial" w:hAnsi="Arial" w:cs="Arial"/>
          <w:sz w:val="22"/>
        </w:rPr>
        <w:t>two</w:t>
      </w:r>
      <w:r w:rsidR="00443BA8" w:rsidRPr="00FD51EC">
        <w:rPr>
          <w:rFonts w:ascii="Arial" w:hAnsi="Arial" w:cs="Arial"/>
          <w:sz w:val="22"/>
        </w:rPr>
        <w:t xml:space="preserve"> </w:t>
      </w:r>
      <w:r w:rsidR="00650AD0" w:rsidRPr="00FD51EC">
        <w:rPr>
          <w:rFonts w:ascii="Arial" w:hAnsi="Arial" w:cs="Arial"/>
          <w:sz w:val="22"/>
        </w:rPr>
        <w:t xml:space="preserve">national nutrition </w:t>
      </w:r>
      <w:r w:rsidR="00443BA8" w:rsidRPr="00FD51EC">
        <w:rPr>
          <w:rFonts w:ascii="Arial" w:hAnsi="Arial" w:cs="Arial"/>
          <w:sz w:val="22"/>
        </w:rPr>
        <w:t>surveys</w:t>
      </w:r>
      <w:r w:rsidR="000B1CA1" w:rsidRPr="00FD51EC">
        <w:rPr>
          <w:rFonts w:ascii="Arial" w:hAnsi="Arial" w:cs="Arial"/>
          <w:sz w:val="22"/>
        </w:rPr>
        <w:t xml:space="preserve">. The iodine intake estimates for children aged 2-16 years used data from the 2007 ANCNAPS, noting these data were not available for use in modelling during the development of the mandatory iodine fortification standard. </w:t>
      </w:r>
      <w:r w:rsidR="00650AD0" w:rsidRPr="00FD51EC">
        <w:rPr>
          <w:rFonts w:ascii="Arial" w:hAnsi="Arial" w:cs="Arial"/>
          <w:sz w:val="22"/>
        </w:rPr>
        <w:t xml:space="preserve">The </w:t>
      </w:r>
      <w:r w:rsidR="000B1CA1" w:rsidRPr="00FD51EC">
        <w:rPr>
          <w:rFonts w:ascii="Arial" w:hAnsi="Arial" w:cs="Arial"/>
          <w:sz w:val="22"/>
        </w:rPr>
        <w:t xml:space="preserve">1995 NNS </w:t>
      </w:r>
      <w:r w:rsidR="00650AD0" w:rsidRPr="00FD51EC">
        <w:rPr>
          <w:rFonts w:ascii="Arial" w:hAnsi="Arial" w:cs="Arial"/>
          <w:sz w:val="22"/>
        </w:rPr>
        <w:t xml:space="preserve">food consumption data </w:t>
      </w:r>
      <w:r w:rsidR="000B1CA1" w:rsidRPr="00FD51EC">
        <w:rPr>
          <w:rFonts w:ascii="Arial" w:hAnsi="Arial" w:cs="Arial"/>
          <w:sz w:val="22"/>
        </w:rPr>
        <w:t xml:space="preserve">were used for </w:t>
      </w:r>
      <w:r w:rsidR="00650AD0" w:rsidRPr="00FD51EC">
        <w:rPr>
          <w:rFonts w:ascii="Arial" w:hAnsi="Arial" w:cs="Arial"/>
          <w:sz w:val="22"/>
        </w:rPr>
        <w:t xml:space="preserve">estimates for </w:t>
      </w:r>
      <w:r w:rsidR="000B1CA1" w:rsidRPr="00FD51EC">
        <w:rPr>
          <w:rFonts w:ascii="Arial" w:hAnsi="Arial" w:cs="Arial"/>
          <w:sz w:val="22"/>
        </w:rPr>
        <w:t>Australian</w:t>
      </w:r>
      <w:r w:rsidR="00650AD0" w:rsidRPr="00FD51EC">
        <w:rPr>
          <w:rFonts w:ascii="Arial" w:hAnsi="Arial" w:cs="Arial"/>
          <w:sz w:val="22"/>
        </w:rPr>
        <w:t>s</w:t>
      </w:r>
      <w:r w:rsidR="000B1CA1" w:rsidRPr="00FD51EC">
        <w:rPr>
          <w:rFonts w:ascii="Arial" w:hAnsi="Arial" w:cs="Arial"/>
          <w:sz w:val="22"/>
        </w:rPr>
        <w:t xml:space="preserve"> aged 16 years and above </w:t>
      </w:r>
      <w:r w:rsidR="00650AD0" w:rsidRPr="00FD51EC">
        <w:rPr>
          <w:rFonts w:ascii="Arial" w:hAnsi="Arial" w:cs="Arial"/>
          <w:sz w:val="22"/>
        </w:rPr>
        <w:t>as</w:t>
      </w:r>
      <w:r w:rsidR="000B1CA1" w:rsidRPr="00FD51EC">
        <w:rPr>
          <w:rFonts w:ascii="Arial" w:hAnsi="Arial" w:cs="Arial"/>
          <w:sz w:val="22"/>
        </w:rPr>
        <w:t xml:space="preserve"> they </w:t>
      </w:r>
      <w:r w:rsidR="00650AD0" w:rsidRPr="00FD51EC">
        <w:rPr>
          <w:rFonts w:ascii="Arial" w:hAnsi="Arial" w:cs="Arial"/>
          <w:sz w:val="22"/>
        </w:rPr>
        <w:t>are</w:t>
      </w:r>
      <w:r w:rsidR="000B1CA1" w:rsidRPr="00FD51EC">
        <w:rPr>
          <w:rFonts w:ascii="Arial" w:hAnsi="Arial" w:cs="Arial"/>
          <w:sz w:val="22"/>
        </w:rPr>
        <w:t xml:space="preserve"> the </w:t>
      </w:r>
      <w:r w:rsidR="00BE5417" w:rsidRPr="00FD51EC">
        <w:rPr>
          <w:rFonts w:ascii="Arial" w:hAnsi="Arial" w:cs="Arial"/>
          <w:sz w:val="22"/>
        </w:rPr>
        <w:t xml:space="preserve">only </w:t>
      </w:r>
      <w:r w:rsidR="000B1CA1" w:rsidRPr="00FD51EC">
        <w:rPr>
          <w:rFonts w:ascii="Arial" w:hAnsi="Arial" w:cs="Arial"/>
          <w:sz w:val="22"/>
        </w:rPr>
        <w:t>available nation</w:t>
      </w:r>
      <w:r w:rsidR="00650AD0" w:rsidRPr="00FD51EC">
        <w:rPr>
          <w:rFonts w:ascii="Arial" w:hAnsi="Arial" w:cs="Arial"/>
          <w:sz w:val="22"/>
        </w:rPr>
        <w:t>al food consumption data for this</w:t>
      </w:r>
      <w:r w:rsidR="000B1CA1" w:rsidRPr="00FD51EC">
        <w:rPr>
          <w:rFonts w:ascii="Arial" w:hAnsi="Arial" w:cs="Arial"/>
          <w:sz w:val="22"/>
        </w:rPr>
        <w:t xml:space="preserve"> age group. </w:t>
      </w:r>
    </w:p>
    <w:p w14:paraId="30E823B4" w14:textId="77777777" w:rsidR="00A07A54" w:rsidRPr="00FD51EC" w:rsidRDefault="00A07A54" w:rsidP="00A07A54">
      <w:pPr>
        <w:rPr>
          <w:rFonts w:ascii="Arial" w:hAnsi="Arial" w:cs="Arial"/>
          <w:sz w:val="22"/>
        </w:rPr>
      </w:pPr>
      <w:r w:rsidRPr="00FD51EC">
        <w:rPr>
          <w:rFonts w:ascii="Arial" w:hAnsi="Arial" w:cs="Arial"/>
          <w:sz w:val="22"/>
        </w:rPr>
        <w:t xml:space="preserve">To ensure that the food consumption data used for the estimates were representative of the Australian population, where necessary, the data were weighted to reflect the weighting used for the survey samples. Despite the differences in the methodologies for the two surveys, the iodine intake estimates presented in this report reflect as accurately as possible, the </w:t>
      </w:r>
      <w:r w:rsidRPr="00FD51EC">
        <w:rPr>
          <w:rFonts w:ascii="Arial" w:hAnsi="Arial" w:cs="Arial"/>
          <w:sz w:val="22"/>
        </w:rPr>
        <w:lastRenderedPageBreak/>
        <w:t xml:space="preserve">Australian population’s intake of dietary iodine following </w:t>
      </w:r>
      <w:r>
        <w:rPr>
          <w:rFonts w:ascii="Arial" w:hAnsi="Arial" w:cs="Arial"/>
          <w:sz w:val="22"/>
        </w:rPr>
        <w:t>implementation of the food standard for</w:t>
      </w:r>
      <w:r w:rsidRPr="00FD51EC">
        <w:rPr>
          <w:rFonts w:ascii="Arial" w:hAnsi="Arial" w:cs="Arial"/>
          <w:sz w:val="22"/>
        </w:rPr>
        <w:t xml:space="preserve"> mandatory use of iodised salt in making bread.</w:t>
      </w:r>
    </w:p>
    <w:p w14:paraId="54AE7E2A" w14:textId="77777777" w:rsidR="00A07A54" w:rsidRPr="00744C07" w:rsidRDefault="00A07A54" w:rsidP="00A07A54">
      <w:pPr>
        <w:rPr>
          <w:rFonts w:ascii="Arial" w:hAnsi="Arial" w:cs="Arial"/>
          <w:color w:val="000000" w:themeColor="text1"/>
          <w:sz w:val="22"/>
        </w:rPr>
      </w:pPr>
      <w:r w:rsidRPr="00FD51EC">
        <w:rPr>
          <w:rFonts w:ascii="Arial" w:hAnsi="Arial" w:cs="Arial"/>
          <w:sz w:val="22"/>
        </w:rPr>
        <w:t xml:space="preserve">As a new custom model was developed for the iodine estimates, the pre-fortification </w:t>
      </w:r>
      <w:r>
        <w:rPr>
          <w:rFonts w:ascii="Arial" w:hAnsi="Arial" w:cs="Arial"/>
          <w:sz w:val="22"/>
        </w:rPr>
        <w:t xml:space="preserve">usual </w:t>
      </w:r>
      <w:r w:rsidRPr="00FD51EC">
        <w:rPr>
          <w:rFonts w:ascii="Arial" w:hAnsi="Arial" w:cs="Arial"/>
          <w:sz w:val="22"/>
        </w:rPr>
        <w:t>iodine intake estimates were re-calculated using this model to generate the baseline for comparison with the post-fortification intake estimates</w:t>
      </w:r>
      <w:r>
        <w:rPr>
          <w:rFonts w:ascii="Arial" w:hAnsi="Arial" w:cs="Arial"/>
          <w:sz w:val="22"/>
        </w:rPr>
        <w:t>, with results being of a similar magnitude</w:t>
      </w:r>
      <w:r w:rsidRPr="00FD51EC">
        <w:rPr>
          <w:rFonts w:ascii="Arial" w:hAnsi="Arial" w:cs="Arial"/>
          <w:sz w:val="22"/>
        </w:rPr>
        <w:t>.</w:t>
      </w:r>
      <w:r>
        <w:rPr>
          <w:rFonts w:ascii="Arial" w:hAnsi="Arial" w:cs="Arial"/>
          <w:sz w:val="22"/>
        </w:rPr>
        <w:t xml:space="preserve"> </w:t>
      </w:r>
      <w:r>
        <w:rPr>
          <w:rFonts w:ascii="Arial" w:hAnsi="Arial" w:cs="Arial"/>
          <w:color w:val="000000" w:themeColor="text1"/>
          <w:sz w:val="22"/>
        </w:rPr>
        <w:t>F</w:t>
      </w:r>
      <w:r w:rsidRPr="00744C07">
        <w:rPr>
          <w:rFonts w:ascii="Arial" w:hAnsi="Arial" w:cs="Arial"/>
          <w:color w:val="000000" w:themeColor="text1"/>
          <w:sz w:val="22"/>
        </w:rPr>
        <w:t>our scenarios of post-fortification estimates of</w:t>
      </w:r>
      <w:r>
        <w:rPr>
          <w:rFonts w:ascii="Arial" w:hAnsi="Arial" w:cs="Arial"/>
          <w:color w:val="000000" w:themeColor="text1"/>
          <w:sz w:val="22"/>
        </w:rPr>
        <w:t xml:space="preserve"> usual</w:t>
      </w:r>
      <w:r w:rsidRPr="00744C07">
        <w:rPr>
          <w:rFonts w:ascii="Arial" w:hAnsi="Arial" w:cs="Arial"/>
          <w:color w:val="000000" w:themeColor="text1"/>
          <w:sz w:val="22"/>
        </w:rPr>
        <w:t xml:space="preserve"> iodine intake values for the Australian population </w:t>
      </w:r>
      <w:r>
        <w:rPr>
          <w:rFonts w:ascii="Arial" w:hAnsi="Arial" w:cs="Arial"/>
          <w:color w:val="000000" w:themeColor="text1"/>
          <w:sz w:val="22"/>
        </w:rPr>
        <w:t>were modelled</w:t>
      </w:r>
      <w:r w:rsidRPr="00744C07">
        <w:rPr>
          <w:rFonts w:ascii="Arial" w:hAnsi="Arial" w:cs="Arial"/>
          <w:color w:val="000000" w:themeColor="text1"/>
          <w:sz w:val="22"/>
        </w:rPr>
        <w:t xml:space="preserve"> based on the analysed mean iodine value for samples in each of the three bread surveys</w:t>
      </w:r>
      <w:r>
        <w:rPr>
          <w:rFonts w:ascii="Arial" w:hAnsi="Arial" w:cs="Arial"/>
          <w:color w:val="000000" w:themeColor="text1"/>
          <w:sz w:val="22"/>
        </w:rPr>
        <w:t xml:space="preserve"> and on</w:t>
      </w:r>
      <w:r w:rsidRPr="00744C07">
        <w:rPr>
          <w:rFonts w:ascii="Arial" w:hAnsi="Arial" w:cs="Arial"/>
          <w:color w:val="000000" w:themeColor="text1"/>
          <w:sz w:val="22"/>
        </w:rPr>
        <w:t xml:space="preserve"> a weighted mean of analysed values of all samples in the three </w:t>
      </w:r>
      <w:r>
        <w:rPr>
          <w:rFonts w:ascii="Arial" w:hAnsi="Arial" w:cs="Arial"/>
          <w:color w:val="000000" w:themeColor="text1"/>
          <w:sz w:val="22"/>
        </w:rPr>
        <w:t xml:space="preserve">analytical </w:t>
      </w:r>
      <w:r w:rsidRPr="00744C07">
        <w:rPr>
          <w:rFonts w:ascii="Arial" w:hAnsi="Arial" w:cs="Arial"/>
          <w:color w:val="000000" w:themeColor="text1"/>
          <w:sz w:val="22"/>
        </w:rPr>
        <w:t xml:space="preserve">surveys. </w:t>
      </w:r>
      <w:r>
        <w:rPr>
          <w:rFonts w:ascii="Arial" w:hAnsi="Arial" w:cs="Arial"/>
          <w:color w:val="000000" w:themeColor="text1"/>
          <w:sz w:val="22"/>
        </w:rPr>
        <w:t xml:space="preserve">As results were basically similar for each of these scenarios </w:t>
      </w:r>
      <w:r w:rsidRPr="00744C07">
        <w:rPr>
          <w:rFonts w:ascii="Arial" w:hAnsi="Arial" w:cs="Arial"/>
          <w:color w:val="000000" w:themeColor="text1"/>
          <w:sz w:val="22"/>
        </w:rPr>
        <w:t>this report</w:t>
      </w:r>
      <w:r>
        <w:rPr>
          <w:rFonts w:ascii="Arial" w:hAnsi="Arial" w:cs="Arial"/>
          <w:color w:val="000000" w:themeColor="text1"/>
          <w:sz w:val="22"/>
        </w:rPr>
        <w:t xml:space="preserve"> presents</w:t>
      </w:r>
      <w:r w:rsidRPr="00744C07">
        <w:rPr>
          <w:rFonts w:ascii="Arial" w:hAnsi="Arial" w:cs="Arial"/>
          <w:color w:val="000000" w:themeColor="text1"/>
          <w:sz w:val="22"/>
        </w:rPr>
        <w:t xml:space="preserve"> the post-fortification </w:t>
      </w:r>
      <w:r>
        <w:rPr>
          <w:rFonts w:ascii="Arial" w:hAnsi="Arial" w:cs="Arial"/>
          <w:color w:val="000000" w:themeColor="text1"/>
          <w:sz w:val="22"/>
        </w:rPr>
        <w:t xml:space="preserve">usual </w:t>
      </w:r>
      <w:r w:rsidRPr="00744C07">
        <w:rPr>
          <w:rFonts w:ascii="Arial" w:hAnsi="Arial" w:cs="Arial"/>
          <w:color w:val="000000" w:themeColor="text1"/>
          <w:sz w:val="22"/>
        </w:rPr>
        <w:t xml:space="preserve">iodine intake estimates derived from </w:t>
      </w:r>
      <w:r>
        <w:rPr>
          <w:rFonts w:ascii="Arial" w:hAnsi="Arial" w:cs="Arial"/>
          <w:color w:val="000000" w:themeColor="text1"/>
          <w:sz w:val="22"/>
        </w:rPr>
        <w:t xml:space="preserve">the </w:t>
      </w:r>
      <w:r w:rsidRPr="00744C07">
        <w:rPr>
          <w:rFonts w:ascii="Arial" w:hAnsi="Arial" w:cs="Arial"/>
          <w:color w:val="000000" w:themeColor="text1"/>
          <w:sz w:val="22"/>
        </w:rPr>
        <w:t>weighted mean of the three surveys to compare with the pre-fortification estimate</w:t>
      </w:r>
      <w:r>
        <w:rPr>
          <w:rFonts w:ascii="Arial" w:hAnsi="Arial" w:cs="Arial"/>
          <w:color w:val="000000" w:themeColor="text1"/>
          <w:sz w:val="22"/>
        </w:rPr>
        <w:t>. F</w:t>
      </w:r>
      <w:r w:rsidRPr="00744C07">
        <w:rPr>
          <w:rFonts w:ascii="Arial" w:hAnsi="Arial" w:cs="Arial"/>
          <w:color w:val="000000" w:themeColor="text1"/>
          <w:sz w:val="22"/>
        </w:rPr>
        <w:t>ull detail</w:t>
      </w:r>
      <w:r>
        <w:rPr>
          <w:rFonts w:ascii="Arial" w:hAnsi="Arial" w:cs="Arial"/>
          <w:color w:val="000000" w:themeColor="text1"/>
          <w:sz w:val="22"/>
        </w:rPr>
        <w:t>s</w:t>
      </w:r>
      <w:r w:rsidRPr="00744C07">
        <w:rPr>
          <w:rFonts w:ascii="Arial" w:hAnsi="Arial" w:cs="Arial"/>
          <w:color w:val="000000" w:themeColor="text1"/>
          <w:sz w:val="22"/>
        </w:rPr>
        <w:t xml:space="preserve"> of the estimated </w:t>
      </w:r>
      <w:r>
        <w:rPr>
          <w:rFonts w:ascii="Arial" w:hAnsi="Arial" w:cs="Arial"/>
          <w:color w:val="000000" w:themeColor="text1"/>
          <w:sz w:val="22"/>
        </w:rPr>
        <w:t xml:space="preserve">usual </w:t>
      </w:r>
      <w:r w:rsidRPr="00744C07">
        <w:rPr>
          <w:rFonts w:ascii="Arial" w:hAnsi="Arial" w:cs="Arial"/>
          <w:color w:val="000000" w:themeColor="text1"/>
          <w:sz w:val="22"/>
        </w:rPr>
        <w:t xml:space="preserve">iodine intake using data from each of the bread surveys and the weighted mean </w:t>
      </w:r>
      <w:r>
        <w:rPr>
          <w:rFonts w:ascii="Arial" w:hAnsi="Arial" w:cs="Arial"/>
          <w:color w:val="000000" w:themeColor="text1"/>
          <w:sz w:val="22"/>
        </w:rPr>
        <w:t>are</w:t>
      </w:r>
      <w:r w:rsidRPr="00744C07">
        <w:rPr>
          <w:rFonts w:ascii="Arial" w:hAnsi="Arial" w:cs="Arial"/>
          <w:color w:val="000000" w:themeColor="text1"/>
          <w:sz w:val="22"/>
        </w:rPr>
        <w:t xml:space="preserve"> provided in </w:t>
      </w:r>
      <w:r w:rsidRPr="0090122D">
        <w:rPr>
          <w:rFonts w:ascii="Arial" w:hAnsi="Arial" w:cs="Arial"/>
          <w:color w:val="000000" w:themeColor="text1"/>
          <w:sz w:val="22"/>
        </w:rPr>
        <w:t>Appendix 1.</w:t>
      </w:r>
    </w:p>
    <w:p w14:paraId="275988F7" w14:textId="1DA90BCE" w:rsidR="00A07A54" w:rsidRDefault="00A07A54" w:rsidP="00EC7442">
      <w:pPr>
        <w:rPr>
          <w:rFonts w:ascii="Arial" w:hAnsi="Arial" w:cs="Arial"/>
          <w:sz w:val="22"/>
        </w:rPr>
      </w:pPr>
      <w:r>
        <w:rPr>
          <w:rFonts w:ascii="Arial" w:hAnsi="Arial" w:cs="Arial"/>
          <w:sz w:val="22"/>
        </w:rPr>
        <w:t>The estimates of dietary</w:t>
      </w:r>
      <w:r w:rsidRPr="00D55217">
        <w:rPr>
          <w:rFonts w:ascii="Arial" w:hAnsi="Arial" w:cs="Arial"/>
          <w:sz w:val="22"/>
        </w:rPr>
        <w:t xml:space="preserve"> </w:t>
      </w:r>
      <w:r>
        <w:rPr>
          <w:rFonts w:ascii="Arial" w:hAnsi="Arial" w:cs="Arial"/>
          <w:sz w:val="22"/>
        </w:rPr>
        <w:t>usual iodine intake in this report are based on the amounts of iodine present in all foods including bread consumed by the individual before and after fortification. The post-fortification intake includes the mean amount of iodine present in the bread samples</w:t>
      </w:r>
      <w:r w:rsidRPr="00442003">
        <w:rPr>
          <w:rFonts w:ascii="Arial" w:hAnsi="Arial" w:cs="Arial"/>
          <w:sz w:val="22"/>
        </w:rPr>
        <w:t xml:space="preserve"> </w:t>
      </w:r>
      <w:r>
        <w:rPr>
          <w:rFonts w:ascii="Arial" w:hAnsi="Arial" w:cs="Arial"/>
          <w:sz w:val="22"/>
        </w:rPr>
        <w:t>analysed, taking account of amounts eaten from mixed foods containing bread.</w:t>
      </w:r>
    </w:p>
    <w:p w14:paraId="74D33D7F" w14:textId="7152357A" w:rsidR="00A07A54" w:rsidRDefault="00A07A54" w:rsidP="00622A8C">
      <w:pPr>
        <w:pStyle w:val="Heading3"/>
      </w:pPr>
      <w:bookmarkStart w:id="20" w:name="_Toc430854507"/>
      <w:r>
        <w:t>6.1.2 Australian Health Survey Data</w:t>
      </w:r>
      <w:bookmarkEnd w:id="20"/>
    </w:p>
    <w:p w14:paraId="27AAE970" w14:textId="77777777" w:rsidR="008549E6" w:rsidRPr="008204B5" w:rsidRDefault="008549E6" w:rsidP="008549E6">
      <w:pPr>
        <w:rPr>
          <w:rFonts w:ascii="Arial" w:hAnsi="Arial" w:cs="Arial"/>
          <w:sz w:val="22"/>
        </w:rPr>
      </w:pPr>
      <w:r w:rsidRPr="008204B5">
        <w:rPr>
          <w:rFonts w:ascii="Arial" w:hAnsi="Arial" w:cs="Arial"/>
          <w:sz w:val="22"/>
        </w:rPr>
        <w:t xml:space="preserve">New food consumption data for the Australian population were published from the 2011-12 National Nutrition and Physical Activity Survey (NNPAS) component of the Australian Health Survey (AHS) by the Australian Bureau of Statistics in 2014 (ABS, 2014a). The survey data have not yet been incorporated into FSANZ’s dietary modelling system and therefore could not be used to assess the nutrient fortification scenarios required. Bread consumption data for regular breads and rolls from the 2011-12 NNPAS were summarised and a comparison made with previous surveys in general terms (see Appendix 1, Table A.7). </w:t>
      </w:r>
    </w:p>
    <w:p w14:paraId="5D7348EE" w14:textId="1EBDA7D0" w:rsidR="00EC7442" w:rsidRDefault="008549E6" w:rsidP="00EC7442">
      <w:pPr>
        <w:rPr>
          <w:rFonts w:ascii="Arial" w:hAnsi="Arial" w:cs="Arial"/>
          <w:sz w:val="22"/>
        </w:rPr>
      </w:pPr>
      <w:r w:rsidRPr="008204B5">
        <w:rPr>
          <w:rFonts w:ascii="Arial" w:hAnsi="Arial" w:cs="Arial"/>
          <w:sz w:val="22"/>
        </w:rPr>
        <w:t xml:space="preserve">For children aged 2-16 years the proportion of consumers and mean consumption for consumers for bread and rolls only were similar to those from the 2007 ANCNPAS. For adults 19 years and above and females </w:t>
      </w:r>
      <w:r w:rsidR="001C6616">
        <w:rPr>
          <w:rFonts w:ascii="Arial" w:hAnsi="Arial" w:cs="Arial"/>
          <w:sz w:val="22"/>
        </w:rPr>
        <w:t xml:space="preserve">aged </w:t>
      </w:r>
      <w:r w:rsidRPr="008204B5">
        <w:rPr>
          <w:rFonts w:ascii="Arial" w:hAnsi="Arial" w:cs="Arial"/>
          <w:sz w:val="22"/>
        </w:rPr>
        <w:t>16-44 years, the proportion of consumers and mean consumption of regular bread and rolls for consumers only for the 2011-12 NNPAS were lower than those for the 1995 NNS, with mean consumption of bread and rolls being around 20 grams per day less (one slice of bread is equivalent to around 30 grams). These differences could be real differences but could also partly be due to other factors: differences in the recording and coding of composite foods, such as bread in sandwiches and bread based dishes being assigned to different food groups; and/or due to the increase in under-reporting in the 2011-12 NNPAS compared to the 1995 NNS, which was reported to a greater extent in males and described as due to higher carbohydrate foods, of which bread is one (ABS, 2014b). Further in-depth research is required on these differences and potential impact on estimated folic acid and total DFE intakes.</w:t>
      </w:r>
    </w:p>
    <w:p w14:paraId="5D7348F2" w14:textId="77777777" w:rsidR="00442003" w:rsidRPr="000A650D" w:rsidRDefault="00442003" w:rsidP="00D43F2C">
      <w:pPr>
        <w:pStyle w:val="Heading2"/>
      </w:pPr>
      <w:bookmarkStart w:id="21" w:name="_Toc430854508"/>
      <w:r w:rsidRPr="000A650D">
        <w:t>6.2</w:t>
      </w:r>
      <w:r w:rsidRPr="000A650D">
        <w:tab/>
        <w:t xml:space="preserve">Estimated mean dietary </w:t>
      </w:r>
      <w:r w:rsidR="00D55217">
        <w:t xml:space="preserve">usual </w:t>
      </w:r>
      <w:r w:rsidRPr="000A650D">
        <w:t>iodine intakes</w:t>
      </w:r>
      <w:bookmarkEnd w:id="21"/>
    </w:p>
    <w:p w14:paraId="5D7348F3" w14:textId="77777777" w:rsidR="0029164D" w:rsidRDefault="00442003" w:rsidP="00CC5193">
      <w:pPr>
        <w:rPr>
          <w:rFonts w:ascii="Arial" w:hAnsi="Arial" w:cs="Arial"/>
          <w:sz w:val="22"/>
        </w:rPr>
      </w:pPr>
      <w:r w:rsidRPr="00442003">
        <w:rPr>
          <w:rFonts w:ascii="Arial" w:hAnsi="Arial" w:cs="Arial"/>
          <w:sz w:val="22"/>
        </w:rPr>
        <w:t>The estimated</w:t>
      </w:r>
      <w:r>
        <w:rPr>
          <w:rFonts w:ascii="Arial" w:hAnsi="Arial" w:cs="Arial"/>
          <w:sz w:val="22"/>
        </w:rPr>
        <w:t xml:space="preserve"> </w:t>
      </w:r>
      <w:r w:rsidRPr="00442003">
        <w:rPr>
          <w:rFonts w:ascii="Arial" w:hAnsi="Arial" w:cs="Arial"/>
          <w:sz w:val="22"/>
        </w:rPr>
        <w:t xml:space="preserve">mean dietary </w:t>
      </w:r>
      <w:r w:rsidR="00D55217">
        <w:rPr>
          <w:rFonts w:ascii="Arial" w:hAnsi="Arial" w:cs="Arial"/>
          <w:sz w:val="22"/>
        </w:rPr>
        <w:t xml:space="preserve">usual </w:t>
      </w:r>
      <w:r w:rsidRPr="00442003">
        <w:rPr>
          <w:rFonts w:ascii="Arial" w:hAnsi="Arial" w:cs="Arial"/>
          <w:sz w:val="22"/>
        </w:rPr>
        <w:t xml:space="preserve">iodine </w:t>
      </w:r>
      <w:r w:rsidR="004A0417">
        <w:rPr>
          <w:rFonts w:ascii="Arial" w:hAnsi="Arial" w:cs="Arial"/>
          <w:sz w:val="22"/>
        </w:rPr>
        <w:t>i</w:t>
      </w:r>
      <w:r w:rsidRPr="00442003">
        <w:rPr>
          <w:rFonts w:ascii="Arial" w:hAnsi="Arial" w:cs="Arial"/>
          <w:sz w:val="22"/>
        </w:rPr>
        <w:t xml:space="preserve">ntake for the </w:t>
      </w:r>
      <w:r>
        <w:rPr>
          <w:rFonts w:ascii="Arial" w:hAnsi="Arial" w:cs="Arial"/>
          <w:sz w:val="22"/>
        </w:rPr>
        <w:t xml:space="preserve">different </w:t>
      </w:r>
      <w:r w:rsidR="00E13F58">
        <w:rPr>
          <w:rFonts w:ascii="Arial" w:hAnsi="Arial" w:cs="Arial"/>
          <w:sz w:val="22"/>
        </w:rPr>
        <w:t xml:space="preserve">age groups of the Australian </w:t>
      </w:r>
      <w:r w:rsidRPr="00442003">
        <w:rPr>
          <w:rFonts w:ascii="Arial" w:hAnsi="Arial" w:cs="Arial"/>
          <w:sz w:val="22"/>
        </w:rPr>
        <w:t>population</w:t>
      </w:r>
      <w:r w:rsidR="00E13F58">
        <w:rPr>
          <w:rFonts w:ascii="Arial" w:hAnsi="Arial" w:cs="Arial"/>
          <w:sz w:val="22"/>
        </w:rPr>
        <w:t xml:space="preserve"> </w:t>
      </w:r>
      <w:r w:rsidRPr="00442003">
        <w:rPr>
          <w:rFonts w:ascii="Arial" w:hAnsi="Arial" w:cs="Arial"/>
          <w:sz w:val="22"/>
        </w:rPr>
        <w:t xml:space="preserve">following mandatory use of iodised salt in making bread, and the amount by which they increased are shown in Table </w:t>
      </w:r>
      <w:r w:rsidR="009B2F41">
        <w:rPr>
          <w:rFonts w:ascii="Arial" w:hAnsi="Arial" w:cs="Arial"/>
          <w:sz w:val="22"/>
        </w:rPr>
        <w:t>3</w:t>
      </w:r>
      <w:r w:rsidR="00D277EB">
        <w:rPr>
          <w:rFonts w:ascii="Arial" w:hAnsi="Arial" w:cs="Arial"/>
          <w:sz w:val="22"/>
        </w:rPr>
        <w:t>.</w:t>
      </w:r>
      <w:r w:rsidRPr="00442003">
        <w:rPr>
          <w:rFonts w:ascii="Arial" w:hAnsi="Arial" w:cs="Arial"/>
          <w:sz w:val="22"/>
        </w:rPr>
        <w:t xml:space="preserve"> </w:t>
      </w:r>
      <w:r w:rsidRPr="00E95C20">
        <w:rPr>
          <w:rFonts w:ascii="Arial" w:hAnsi="Arial" w:cs="Arial"/>
          <w:color w:val="000000" w:themeColor="text1"/>
          <w:sz w:val="22"/>
        </w:rPr>
        <w:t>Figure</w:t>
      </w:r>
      <w:r w:rsidR="0090122D">
        <w:rPr>
          <w:rFonts w:ascii="Arial" w:hAnsi="Arial" w:cs="Arial"/>
          <w:color w:val="000000" w:themeColor="text1"/>
          <w:sz w:val="22"/>
        </w:rPr>
        <w:t>s 2 and</w:t>
      </w:r>
      <w:r w:rsidRPr="00E95C20">
        <w:rPr>
          <w:rFonts w:ascii="Arial" w:hAnsi="Arial" w:cs="Arial"/>
          <w:color w:val="000000" w:themeColor="text1"/>
          <w:sz w:val="22"/>
        </w:rPr>
        <w:t xml:space="preserve"> </w:t>
      </w:r>
      <w:r w:rsidR="00D277EB" w:rsidRPr="00E95C20">
        <w:rPr>
          <w:rFonts w:ascii="Arial" w:hAnsi="Arial" w:cs="Arial"/>
          <w:color w:val="000000" w:themeColor="text1"/>
          <w:sz w:val="22"/>
        </w:rPr>
        <w:t xml:space="preserve">3 </w:t>
      </w:r>
      <w:r w:rsidR="00AA1F32">
        <w:rPr>
          <w:rFonts w:ascii="Arial" w:hAnsi="Arial" w:cs="Arial"/>
          <w:sz w:val="22"/>
        </w:rPr>
        <w:t>show</w:t>
      </w:r>
      <w:r w:rsidR="00D277EB" w:rsidRPr="00D277EB">
        <w:rPr>
          <w:rFonts w:ascii="Arial" w:hAnsi="Arial" w:cs="Arial"/>
          <w:sz w:val="22"/>
        </w:rPr>
        <w:t xml:space="preserve"> plot</w:t>
      </w:r>
      <w:r w:rsidR="00AA1F32">
        <w:rPr>
          <w:rFonts w:ascii="Arial" w:hAnsi="Arial" w:cs="Arial"/>
          <w:sz w:val="22"/>
        </w:rPr>
        <w:t>s</w:t>
      </w:r>
      <w:r w:rsidR="00D277EB" w:rsidRPr="00D277EB">
        <w:rPr>
          <w:rFonts w:ascii="Arial" w:hAnsi="Arial" w:cs="Arial"/>
          <w:sz w:val="22"/>
        </w:rPr>
        <w:t xml:space="preserve"> of the estimated mean </w:t>
      </w:r>
      <w:r w:rsidR="00D55217">
        <w:rPr>
          <w:rFonts w:ascii="Arial" w:hAnsi="Arial" w:cs="Arial"/>
          <w:sz w:val="22"/>
        </w:rPr>
        <w:lastRenderedPageBreak/>
        <w:t xml:space="preserve">usual </w:t>
      </w:r>
      <w:r w:rsidR="00AA1F32">
        <w:rPr>
          <w:rFonts w:ascii="Arial" w:hAnsi="Arial" w:cs="Arial"/>
          <w:sz w:val="22"/>
        </w:rPr>
        <w:t xml:space="preserve">iodine </w:t>
      </w:r>
      <w:r w:rsidR="00D277EB" w:rsidRPr="00D277EB">
        <w:rPr>
          <w:rFonts w:ascii="Arial" w:hAnsi="Arial" w:cs="Arial"/>
          <w:sz w:val="22"/>
        </w:rPr>
        <w:t>intakes (market weighted model) before and after fortification</w:t>
      </w:r>
      <w:r w:rsidR="00E8748B">
        <w:rPr>
          <w:rFonts w:ascii="Arial" w:hAnsi="Arial" w:cs="Arial"/>
          <w:sz w:val="22"/>
        </w:rPr>
        <w:t>,</w:t>
      </w:r>
      <w:r w:rsidR="00D277EB" w:rsidRPr="00D277EB">
        <w:rPr>
          <w:rFonts w:ascii="Arial" w:hAnsi="Arial" w:cs="Arial"/>
          <w:sz w:val="22"/>
        </w:rPr>
        <w:t xml:space="preserve"> </w:t>
      </w:r>
      <w:r w:rsidR="006E7116">
        <w:rPr>
          <w:rFonts w:ascii="Arial" w:hAnsi="Arial" w:cs="Arial"/>
          <w:sz w:val="22"/>
        </w:rPr>
        <w:t>based on</w:t>
      </w:r>
      <w:r w:rsidR="00D277EB" w:rsidRPr="00D277EB">
        <w:rPr>
          <w:rFonts w:ascii="Arial" w:hAnsi="Arial" w:cs="Arial"/>
          <w:sz w:val="22"/>
        </w:rPr>
        <w:t xml:space="preserve"> age group</w:t>
      </w:r>
      <w:r w:rsidR="00D277EB">
        <w:rPr>
          <w:rFonts w:ascii="Arial" w:hAnsi="Arial" w:cs="Arial"/>
          <w:sz w:val="22"/>
        </w:rPr>
        <w:t xml:space="preserve"> and gender</w:t>
      </w:r>
      <w:r w:rsidR="00490C9A">
        <w:rPr>
          <w:rFonts w:ascii="Arial" w:hAnsi="Arial" w:cs="Arial"/>
          <w:sz w:val="22"/>
        </w:rPr>
        <w:t xml:space="preserve"> for Australian adults</w:t>
      </w:r>
      <w:r w:rsidR="00AA1F32">
        <w:rPr>
          <w:rFonts w:ascii="Arial" w:hAnsi="Arial" w:cs="Arial"/>
          <w:sz w:val="22"/>
        </w:rPr>
        <w:t xml:space="preserve"> and children</w:t>
      </w:r>
      <w:r w:rsidR="007328D0">
        <w:rPr>
          <w:rFonts w:ascii="Arial" w:hAnsi="Arial" w:cs="Arial"/>
          <w:sz w:val="22"/>
        </w:rPr>
        <w:t xml:space="preserve"> </w:t>
      </w:r>
      <w:r w:rsidR="007328D0" w:rsidRPr="00E95C20">
        <w:rPr>
          <w:rFonts w:ascii="Arial" w:hAnsi="Arial" w:cs="Arial"/>
          <w:color w:val="000000" w:themeColor="text1"/>
          <w:sz w:val="22"/>
        </w:rPr>
        <w:t>respectively</w:t>
      </w:r>
      <w:r w:rsidRPr="00442003">
        <w:rPr>
          <w:rFonts w:ascii="Arial" w:hAnsi="Arial" w:cs="Arial"/>
          <w:sz w:val="22"/>
        </w:rPr>
        <w:t>.</w:t>
      </w:r>
    </w:p>
    <w:p w14:paraId="5D7348F4" w14:textId="77777777" w:rsidR="0029164D" w:rsidRPr="00412CE9" w:rsidRDefault="0029164D" w:rsidP="00622A8C">
      <w:pPr>
        <w:pStyle w:val="Heading3"/>
      </w:pPr>
      <w:bookmarkStart w:id="22" w:name="_Toc430854509"/>
      <w:r w:rsidRPr="000A13C3">
        <w:t xml:space="preserve">6.2.1 </w:t>
      </w:r>
      <w:r w:rsidRPr="000A13C3">
        <w:tab/>
      </w:r>
      <w:r w:rsidR="00F365B0">
        <w:t>Usual i</w:t>
      </w:r>
      <w:r w:rsidRPr="000A13C3">
        <w:t>ntake estimates for the target populations</w:t>
      </w:r>
      <w:bookmarkEnd w:id="22"/>
    </w:p>
    <w:p w14:paraId="5D7348F5" w14:textId="4605578A" w:rsidR="0029164D" w:rsidRDefault="0029164D" w:rsidP="00CC5193">
      <w:pPr>
        <w:tabs>
          <w:tab w:val="clear" w:pos="567"/>
        </w:tabs>
        <w:rPr>
          <w:rFonts w:ascii="Arial" w:hAnsi="Arial" w:cs="Arial"/>
          <w:sz w:val="22"/>
        </w:rPr>
      </w:pPr>
      <w:r>
        <w:rPr>
          <w:rFonts w:ascii="Arial" w:hAnsi="Arial" w:cs="Arial"/>
          <w:sz w:val="22"/>
        </w:rPr>
        <w:t xml:space="preserve">The priority population groups for mandatory iodine fortification </w:t>
      </w:r>
      <w:r w:rsidRPr="00FD51EC">
        <w:rPr>
          <w:rFonts w:ascii="Arial" w:hAnsi="Arial" w:cs="Arial"/>
          <w:sz w:val="22"/>
        </w:rPr>
        <w:t>wer</w:t>
      </w:r>
      <w:r>
        <w:rPr>
          <w:rFonts w:ascii="Arial" w:hAnsi="Arial" w:cs="Arial"/>
          <w:sz w:val="22"/>
        </w:rPr>
        <w:t>e young children aged 2-3 years and</w:t>
      </w:r>
      <w:r w:rsidRPr="00FD51EC">
        <w:rPr>
          <w:rFonts w:ascii="Arial" w:hAnsi="Arial" w:cs="Arial"/>
          <w:sz w:val="22"/>
        </w:rPr>
        <w:t xml:space="preserve"> </w:t>
      </w:r>
      <w:r w:rsidR="00F343F7">
        <w:rPr>
          <w:rFonts w:ascii="Arial" w:hAnsi="Arial" w:cs="Arial"/>
          <w:sz w:val="22"/>
        </w:rPr>
        <w:t>females</w:t>
      </w:r>
      <w:r w:rsidRPr="00FD51EC">
        <w:rPr>
          <w:rFonts w:ascii="Arial" w:hAnsi="Arial" w:cs="Arial"/>
          <w:sz w:val="22"/>
        </w:rPr>
        <w:t xml:space="preserve"> of child-bearing age (16-44 years old)</w:t>
      </w:r>
      <w:r>
        <w:rPr>
          <w:rFonts w:ascii="Arial" w:hAnsi="Arial" w:cs="Arial"/>
          <w:sz w:val="22"/>
        </w:rPr>
        <w:t xml:space="preserve"> including breast-feeding </w:t>
      </w:r>
      <w:r w:rsidR="00F343F7">
        <w:rPr>
          <w:rFonts w:ascii="Arial" w:hAnsi="Arial" w:cs="Arial"/>
          <w:sz w:val="22"/>
        </w:rPr>
        <w:t>females</w:t>
      </w:r>
      <w:r>
        <w:rPr>
          <w:rFonts w:ascii="Arial" w:hAnsi="Arial" w:cs="Arial"/>
          <w:sz w:val="22"/>
        </w:rPr>
        <w:t xml:space="preserve">. </w:t>
      </w:r>
    </w:p>
    <w:p w14:paraId="6CC80675" w14:textId="21DC116E" w:rsidR="00DC0A52" w:rsidRPr="00622A8C" w:rsidRDefault="0029164D" w:rsidP="00622A8C">
      <w:pPr>
        <w:tabs>
          <w:tab w:val="clear" w:pos="567"/>
        </w:tabs>
        <w:rPr>
          <w:rFonts w:ascii="Arial" w:hAnsi="Arial" w:cs="Arial"/>
          <w:sz w:val="22"/>
        </w:rPr>
      </w:pPr>
      <w:r w:rsidRPr="00C77DBC">
        <w:rPr>
          <w:rFonts w:ascii="Arial" w:hAnsi="Arial" w:cs="Arial"/>
          <w:sz w:val="22"/>
        </w:rPr>
        <w:t xml:space="preserve">The estimates </w:t>
      </w:r>
      <w:r>
        <w:rPr>
          <w:rFonts w:ascii="Arial" w:hAnsi="Arial" w:cs="Arial"/>
          <w:sz w:val="22"/>
        </w:rPr>
        <w:t xml:space="preserve">of the post-fortification </w:t>
      </w:r>
      <w:r w:rsidRPr="00C77DBC">
        <w:rPr>
          <w:rFonts w:ascii="Arial" w:hAnsi="Arial" w:cs="Arial"/>
          <w:sz w:val="22"/>
        </w:rPr>
        <w:t xml:space="preserve">mean </w:t>
      </w:r>
      <w:r w:rsidR="00D55217">
        <w:rPr>
          <w:rFonts w:ascii="Arial" w:hAnsi="Arial" w:cs="Arial"/>
          <w:sz w:val="22"/>
        </w:rPr>
        <w:t xml:space="preserve">usual </w:t>
      </w:r>
      <w:r w:rsidR="004A0417">
        <w:rPr>
          <w:rFonts w:ascii="Arial" w:hAnsi="Arial" w:cs="Arial"/>
          <w:sz w:val="22"/>
        </w:rPr>
        <w:t>i</w:t>
      </w:r>
      <w:r w:rsidRPr="00C77DBC">
        <w:rPr>
          <w:rFonts w:ascii="Arial" w:hAnsi="Arial" w:cs="Arial"/>
          <w:sz w:val="22"/>
        </w:rPr>
        <w:t xml:space="preserve">odine intake for </w:t>
      </w:r>
      <w:r>
        <w:rPr>
          <w:rFonts w:ascii="Arial" w:hAnsi="Arial" w:cs="Arial"/>
          <w:sz w:val="22"/>
        </w:rPr>
        <w:t xml:space="preserve">all </w:t>
      </w:r>
      <w:r w:rsidRPr="00C77DBC">
        <w:rPr>
          <w:rFonts w:ascii="Arial" w:hAnsi="Arial" w:cs="Arial"/>
          <w:sz w:val="22"/>
        </w:rPr>
        <w:t xml:space="preserve">children aged 2-3 years </w:t>
      </w:r>
      <w:r>
        <w:rPr>
          <w:rFonts w:ascii="Arial" w:hAnsi="Arial" w:cs="Arial"/>
          <w:sz w:val="22"/>
        </w:rPr>
        <w:t>indicated</w:t>
      </w:r>
      <w:r w:rsidRPr="00C77DBC">
        <w:rPr>
          <w:rFonts w:ascii="Arial" w:hAnsi="Arial" w:cs="Arial"/>
          <w:sz w:val="22"/>
        </w:rPr>
        <w:t xml:space="preserve"> an increase </w:t>
      </w:r>
      <w:proofErr w:type="gramStart"/>
      <w:r w:rsidRPr="00C77DBC">
        <w:rPr>
          <w:rFonts w:ascii="Arial" w:hAnsi="Arial" w:cs="Arial"/>
          <w:sz w:val="22"/>
        </w:rPr>
        <w:t>of 3</w:t>
      </w:r>
      <w:r>
        <w:rPr>
          <w:rFonts w:ascii="Arial" w:hAnsi="Arial" w:cs="Arial"/>
          <w:sz w:val="22"/>
        </w:rPr>
        <w:t>7</w:t>
      </w:r>
      <w:r w:rsidRPr="00C77DBC">
        <w:rPr>
          <w:rFonts w:ascii="Arial" w:hAnsi="Arial" w:cs="Arial"/>
          <w:sz w:val="22"/>
        </w:rPr>
        <w:t xml:space="preserve"> µg/day</w:t>
      </w:r>
      <w:r>
        <w:rPr>
          <w:rFonts w:ascii="Arial" w:hAnsi="Arial" w:cs="Arial"/>
          <w:sz w:val="22"/>
        </w:rPr>
        <w:t>,</w:t>
      </w:r>
      <w:r w:rsidRPr="00C77DBC">
        <w:rPr>
          <w:rFonts w:ascii="Arial" w:hAnsi="Arial" w:cs="Arial"/>
          <w:sz w:val="22"/>
        </w:rPr>
        <w:t xml:space="preserve"> a </w:t>
      </w:r>
      <w:r>
        <w:rPr>
          <w:rFonts w:ascii="Arial" w:hAnsi="Arial" w:cs="Arial"/>
          <w:color w:val="000000" w:themeColor="text1"/>
          <w:sz w:val="22"/>
        </w:rPr>
        <w:t>29</w:t>
      </w:r>
      <w:r w:rsidRPr="008C13E3">
        <w:rPr>
          <w:rFonts w:ascii="Arial" w:hAnsi="Arial" w:cs="Arial"/>
          <w:color w:val="000000" w:themeColor="text1"/>
          <w:sz w:val="22"/>
        </w:rPr>
        <w:t>%</w:t>
      </w:r>
      <w:r w:rsidRPr="00C77DBC">
        <w:rPr>
          <w:rFonts w:ascii="Arial" w:hAnsi="Arial" w:cs="Arial"/>
          <w:sz w:val="22"/>
        </w:rPr>
        <w:t xml:space="preserve"> increase on the pre-fortification mean </w:t>
      </w:r>
      <w:r w:rsidR="001F0276">
        <w:rPr>
          <w:rFonts w:ascii="Arial" w:hAnsi="Arial" w:cs="Arial"/>
          <w:sz w:val="22"/>
        </w:rPr>
        <w:t>usual</w:t>
      </w:r>
      <w:r w:rsidR="001F0276" w:rsidRPr="00C77DBC">
        <w:rPr>
          <w:rFonts w:ascii="Arial" w:hAnsi="Arial" w:cs="Arial"/>
          <w:sz w:val="22"/>
        </w:rPr>
        <w:t xml:space="preserve"> </w:t>
      </w:r>
      <w:r w:rsidRPr="00C77DBC">
        <w:rPr>
          <w:rFonts w:ascii="Arial" w:hAnsi="Arial" w:cs="Arial"/>
          <w:sz w:val="22"/>
        </w:rPr>
        <w:t>intake values</w:t>
      </w:r>
      <w:proofErr w:type="gramEnd"/>
      <w:r w:rsidRPr="00C77DBC">
        <w:rPr>
          <w:rFonts w:ascii="Arial" w:hAnsi="Arial" w:cs="Arial"/>
          <w:sz w:val="22"/>
        </w:rPr>
        <w:t>. The estimate</w:t>
      </w:r>
      <w:r>
        <w:rPr>
          <w:rFonts w:ascii="Arial" w:hAnsi="Arial" w:cs="Arial"/>
          <w:sz w:val="22"/>
        </w:rPr>
        <w:t>d increases</w:t>
      </w:r>
      <w:r w:rsidRPr="00C77DBC">
        <w:rPr>
          <w:rFonts w:ascii="Arial" w:hAnsi="Arial" w:cs="Arial"/>
          <w:sz w:val="22"/>
        </w:rPr>
        <w:t xml:space="preserve"> </w:t>
      </w:r>
      <w:r>
        <w:rPr>
          <w:rFonts w:ascii="Arial" w:hAnsi="Arial" w:cs="Arial"/>
          <w:sz w:val="22"/>
        </w:rPr>
        <w:t>we</w:t>
      </w:r>
      <w:r w:rsidRPr="00C77DBC">
        <w:rPr>
          <w:rFonts w:ascii="Arial" w:hAnsi="Arial" w:cs="Arial"/>
          <w:sz w:val="22"/>
        </w:rPr>
        <w:t xml:space="preserve">re the same </w:t>
      </w:r>
      <w:r>
        <w:rPr>
          <w:rFonts w:ascii="Arial" w:hAnsi="Arial" w:cs="Arial"/>
          <w:sz w:val="22"/>
        </w:rPr>
        <w:t>for both</w:t>
      </w:r>
      <w:r w:rsidRPr="00C77DBC">
        <w:rPr>
          <w:rFonts w:ascii="Arial" w:hAnsi="Arial" w:cs="Arial"/>
          <w:sz w:val="22"/>
        </w:rPr>
        <w:t xml:space="preserve"> the market weighted model </w:t>
      </w:r>
      <w:r>
        <w:rPr>
          <w:rFonts w:ascii="Arial" w:hAnsi="Arial" w:cs="Arial"/>
          <w:sz w:val="22"/>
        </w:rPr>
        <w:t>and the consumer intake model</w:t>
      </w:r>
      <w:r w:rsidRPr="00C77DBC">
        <w:rPr>
          <w:rFonts w:ascii="Arial" w:hAnsi="Arial" w:cs="Arial"/>
          <w:sz w:val="22"/>
        </w:rPr>
        <w:t xml:space="preserve">. The increase </w:t>
      </w:r>
      <w:r>
        <w:rPr>
          <w:rFonts w:ascii="Arial" w:hAnsi="Arial" w:cs="Arial"/>
          <w:sz w:val="22"/>
        </w:rPr>
        <w:t xml:space="preserve">in the estimated </w:t>
      </w:r>
      <w:r w:rsidR="00D55217">
        <w:rPr>
          <w:rFonts w:ascii="Arial" w:hAnsi="Arial" w:cs="Arial"/>
          <w:sz w:val="22"/>
        </w:rPr>
        <w:t xml:space="preserve">usual </w:t>
      </w:r>
      <w:r>
        <w:rPr>
          <w:rFonts w:ascii="Arial" w:hAnsi="Arial" w:cs="Arial"/>
          <w:sz w:val="22"/>
        </w:rPr>
        <w:t xml:space="preserve">iodine </w:t>
      </w:r>
      <w:r w:rsidR="004A0417">
        <w:rPr>
          <w:rFonts w:ascii="Arial" w:hAnsi="Arial" w:cs="Arial"/>
          <w:sz w:val="22"/>
        </w:rPr>
        <w:t>i</w:t>
      </w:r>
      <w:r>
        <w:rPr>
          <w:rFonts w:ascii="Arial" w:hAnsi="Arial" w:cs="Arial"/>
          <w:sz w:val="22"/>
        </w:rPr>
        <w:t>ntake wa</w:t>
      </w:r>
      <w:r w:rsidRPr="00C77DBC">
        <w:rPr>
          <w:rFonts w:ascii="Arial" w:hAnsi="Arial" w:cs="Arial"/>
          <w:sz w:val="22"/>
        </w:rPr>
        <w:t xml:space="preserve">s </w:t>
      </w:r>
      <w:r w:rsidR="00A62B9E">
        <w:rPr>
          <w:rFonts w:ascii="Arial" w:hAnsi="Arial" w:cs="Arial"/>
          <w:sz w:val="22"/>
        </w:rPr>
        <w:t>very similar</w:t>
      </w:r>
      <w:r w:rsidRPr="00C77DBC">
        <w:rPr>
          <w:rFonts w:ascii="Arial" w:hAnsi="Arial" w:cs="Arial"/>
          <w:sz w:val="22"/>
        </w:rPr>
        <w:t xml:space="preserve"> to the increase projected for the target group when the intake assessments were determined for the development of the mandatory iodine fortification standard</w:t>
      </w:r>
      <w:r>
        <w:rPr>
          <w:rFonts w:ascii="Arial" w:hAnsi="Arial" w:cs="Arial"/>
          <w:sz w:val="22"/>
        </w:rPr>
        <w:t xml:space="preserve"> </w:t>
      </w:r>
      <w:r w:rsidRPr="00742ABC">
        <w:rPr>
          <w:rFonts w:ascii="Arial" w:hAnsi="Arial" w:cs="Arial"/>
          <w:sz w:val="22"/>
        </w:rPr>
        <w:t>(FSANZ 2008</w:t>
      </w:r>
      <w:r>
        <w:rPr>
          <w:rFonts w:ascii="Arial" w:hAnsi="Arial" w:cs="Arial"/>
          <w:sz w:val="22"/>
        </w:rPr>
        <w:t>)</w:t>
      </w:r>
      <w:r w:rsidRPr="00C77DBC">
        <w:rPr>
          <w:rFonts w:ascii="Arial" w:hAnsi="Arial" w:cs="Arial"/>
          <w:sz w:val="22"/>
        </w:rPr>
        <w:t xml:space="preserve">. </w:t>
      </w:r>
      <w:r>
        <w:rPr>
          <w:rFonts w:ascii="Arial" w:hAnsi="Arial" w:cs="Arial"/>
          <w:sz w:val="22"/>
        </w:rPr>
        <w:t xml:space="preserve">The </w:t>
      </w:r>
      <w:r w:rsidR="00D55217">
        <w:rPr>
          <w:rFonts w:ascii="Arial" w:hAnsi="Arial" w:cs="Arial"/>
          <w:sz w:val="22"/>
        </w:rPr>
        <w:t xml:space="preserve">usual </w:t>
      </w:r>
      <w:r>
        <w:rPr>
          <w:rFonts w:ascii="Arial" w:hAnsi="Arial" w:cs="Arial"/>
          <w:sz w:val="22"/>
        </w:rPr>
        <w:t xml:space="preserve">iodine intake estimates for 2-3 year old children by gender, indicated boys to have higher increases in mean </w:t>
      </w:r>
      <w:r w:rsidR="008B4898">
        <w:rPr>
          <w:rFonts w:ascii="Arial" w:hAnsi="Arial" w:cs="Arial"/>
          <w:sz w:val="22"/>
        </w:rPr>
        <w:t xml:space="preserve">usual </w:t>
      </w:r>
      <w:r>
        <w:rPr>
          <w:rFonts w:ascii="Arial" w:hAnsi="Arial" w:cs="Arial"/>
          <w:sz w:val="22"/>
        </w:rPr>
        <w:t xml:space="preserve">intake compared to girls (31% increase in mean </w:t>
      </w:r>
      <w:r w:rsidR="001F0276">
        <w:rPr>
          <w:rFonts w:ascii="Arial" w:hAnsi="Arial" w:cs="Arial"/>
          <w:sz w:val="22"/>
        </w:rPr>
        <w:t xml:space="preserve">usual </w:t>
      </w:r>
      <w:r>
        <w:rPr>
          <w:rFonts w:ascii="Arial" w:hAnsi="Arial" w:cs="Arial"/>
          <w:sz w:val="22"/>
        </w:rPr>
        <w:t>intake compar</w:t>
      </w:r>
      <w:r w:rsidR="00AA313B">
        <w:rPr>
          <w:rFonts w:ascii="Arial" w:hAnsi="Arial" w:cs="Arial"/>
          <w:sz w:val="22"/>
        </w:rPr>
        <w:t>ed to 28% for the girls, Table 4</w:t>
      </w:r>
      <w:r w:rsidR="00622A8C">
        <w:rPr>
          <w:rFonts w:ascii="Arial" w:hAnsi="Arial" w:cs="Arial"/>
          <w:sz w:val="22"/>
        </w:rPr>
        <w:t xml:space="preserve">). </w:t>
      </w:r>
    </w:p>
    <w:p w14:paraId="12957790" w14:textId="77777777" w:rsidR="00622A8C" w:rsidRDefault="00622A8C" w:rsidP="00DC0A52">
      <w:pPr>
        <w:pStyle w:val="Caption"/>
      </w:pPr>
      <w:bookmarkStart w:id="23" w:name="_Toc430856499"/>
    </w:p>
    <w:p w14:paraId="0B18978C" w14:textId="77777777" w:rsidR="00622A8C" w:rsidRDefault="00622A8C" w:rsidP="00DC0A52">
      <w:pPr>
        <w:pStyle w:val="Caption"/>
      </w:pPr>
    </w:p>
    <w:p w14:paraId="497A8D3B" w14:textId="77777777" w:rsidR="00622A8C" w:rsidRDefault="00622A8C" w:rsidP="00DC0A52">
      <w:pPr>
        <w:pStyle w:val="Caption"/>
      </w:pPr>
    </w:p>
    <w:p w14:paraId="7D88F330" w14:textId="77777777" w:rsidR="00622A8C" w:rsidRDefault="00622A8C" w:rsidP="00DC0A52">
      <w:pPr>
        <w:pStyle w:val="Caption"/>
      </w:pPr>
    </w:p>
    <w:p w14:paraId="09E661B7" w14:textId="77777777" w:rsidR="00622A8C" w:rsidRDefault="00622A8C" w:rsidP="00DC0A52">
      <w:pPr>
        <w:pStyle w:val="Caption"/>
      </w:pPr>
    </w:p>
    <w:p w14:paraId="663F64E6" w14:textId="77777777" w:rsidR="00622A8C" w:rsidRDefault="00622A8C" w:rsidP="00DC0A52">
      <w:pPr>
        <w:pStyle w:val="Caption"/>
      </w:pPr>
    </w:p>
    <w:p w14:paraId="290EA6F8" w14:textId="77777777" w:rsidR="00622A8C" w:rsidRDefault="00622A8C" w:rsidP="00DC0A52">
      <w:pPr>
        <w:pStyle w:val="Caption"/>
      </w:pPr>
    </w:p>
    <w:p w14:paraId="322842A6" w14:textId="77777777" w:rsidR="00622A8C" w:rsidRDefault="00622A8C" w:rsidP="00DC0A52">
      <w:pPr>
        <w:pStyle w:val="Caption"/>
      </w:pPr>
    </w:p>
    <w:p w14:paraId="4D91A9E1" w14:textId="77777777" w:rsidR="00622A8C" w:rsidRDefault="00622A8C" w:rsidP="00DC0A52">
      <w:pPr>
        <w:pStyle w:val="Caption"/>
      </w:pPr>
    </w:p>
    <w:p w14:paraId="682EF2D4" w14:textId="77777777" w:rsidR="00622A8C" w:rsidRDefault="00622A8C" w:rsidP="00DC0A52">
      <w:pPr>
        <w:pStyle w:val="Caption"/>
      </w:pPr>
    </w:p>
    <w:p w14:paraId="6C26A3E7" w14:textId="77777777" w:rsidR="00622A8C" w:rsidRDefault="00622A8C" w:rsidP="00DC0A52">
      <w:pPr>
        <w:pStyle w:val="Caption"/>
      </w:pPr>
    </w:p>
    <w:p w14:paraId="216ABC8C" w14:textId="77777777" w:rsidR="00622A8C" w:rsidRDefault="00622A8C" w:rsidP="00DC0A52">
      <w:pPr>
        <w:pStyle w:val="Caption"/>
      </w:pPr>
    </w:p>
    <w:p w14:paraId="16D0026E" w14:textId="77777777" w:rsidR="00622A8C" w:rsidRDefault="00622A8C" w:rsidP="00DC0A52">
      <w:pPr>
        <w:pStyle w:val="Caption"/>
      </w:pPr>
    </w:p>
    <w:p w14:paraId="44F9F8F2" w14:textId="77777777" w:rsidR="00622A8C" w:rsidRDefault="00622A8C" w:rsidP="00DC0A52">
      <w:pPr>
        <w:pStyle w:val="Caption"/>
      </w:pPr>
    </w:p>
    <w:p w14:paraId="44D04497" w14:textId="77777777" w:rsidR="00622A8C" w:rsidRDefault="00622A8C" w:rsidP="00DC0A52">
      <w:pPr>
        <w:pStyle w:val="Caption"/>
      </w:pPr>
    </w:p>
    <w:p w14:paraId="04E4252F" w14:textId="77777777" w:rsidR="00622A8C" w:rsidRDefault="00622A8C" w:rsidP="00DC0A52">
      <w:pPr>
        <w:pStyle w:val="Caption"/>
      </w:pPr>
    </w:p>
    <w:p w14:paraId="3F7324C3" w14:textId="77777777" w:rsidR="00622A8C" w:rsidRDefault="00622A8C" w:rsidP="00DC0A52">
      <w:pPr>
        <w:pStyle w:val="Caption"/>
      </w:pPr>
    </w:p>
    <w:p w14:paraId="3F561885" w14:textId="77777777" w:rsidR="00622A8C" w:rsidRDefault="00622A8C" w:rsidP="00DC0A52">
      <w:pPr>
        <w:pStyle w:val="Caption"/>
      </w:pPr>
    </w:p>
    <w:p w14:paraId="64F76B53" w14:textId="77777777" w:rsidR="00622A8C" w:rsidRDefault="00622A8C" w:rsidP="00DC0A52">
      <w:pPr>
        <w:pStyle w:val="Caption"/>
      </w:pPr>
    </w:p>
    <w:p w14:paraId="02DD3429" w14:textId="77777777" w:rsidR="00622A8C" w:rsidRDefault="00622A8C" w:rsidP="00DC0A52">
      <w:pPr>
        <w:pStyle w:val="Caption"/>
      </w:pPr>
    </w:p>
    <w:p w14:paraId="7B26B6AC" w14:textId="77777777" w:rsidR="00622A8C" w:rsidRDefault="00622A8C" w:rsidP="00DC0A52">
      <w:pPr>
        <w:pStyle w:val="Caption"/>
      </w:pPr>
    </w:p>
    <w:p w14:paraId="173AE404" w14:textId="77777777" w:rsidR="00622A8C" w:rsidRDefault="00622A8C" w:rsidP="00DC0A52">
      <w:pPr>
        <w:pStyle w:val="Caption"/>
      </w:pPr>
    </w:p>
    <w:p w14:paraId="494A3DB3" w14:textId="77777777" w:rsidR="00622A8C" w:rsidRDefault="00622A8C" w:rsidP="00DC0A52">
      <w:pPr>
        <w:pStyle w:val="Caption"/>
      </w:pPr>
    </w:p>
    <w:p w14:paraId="0AB9BC28" w14:textId="77777777" w:rsidR="006059FC" w:rsidRDefault="006059FC" w:rsidP="00DC0A52">
      <w:pPr>
        <w:pStyle w:val="Caption"/>
      </w:pPr>
      <w:r>
        <w:br/>
      </w:r>
    </w:p>
    <w:p w14:paraId="06B3869A" w14:textId="77777777" w:rsidR="006059FC" w:rsidRDefault="006059FC" w:rsidP="00DC0A52">
      <w:pPr>
        <w:pStyle w:val="Caption"/>
      </w:pPr>
    </w:p>
    <w:p w14:paraId="303F6E4E" w14:textId="77777777" w:rsidR="006059FC" w:rsidRDefault="006059FC" w:rsidP="00DC0A52">
      <w:pPr>
        <w:pStyle w:val="Caption"/>
      </w:pPr>
    </w:p>
    <w:p w14:paraId="0C776E32" w14:textId="77777777" w:rsidR="006059FC" w:rsidRDefault="006059FC" w:rsidP="00DC0A52">
      <w:pPr>
        <w:pStyle w:val="Caption"/>
      </w:pPr>
    </w:p>
    <w:p w14:paraId="5CCB2F0E" w14:textId="77777777" w:rsidR="006059FC" w:rsidRDefault="006059FC" w:rsidP="00DC0A52">
      <w:pPr>
        <w:pStyle w:val="Caption"/>
      </w:pPr>
    </w:p>
    <w:p w14:paraId="79D92372" w14:textId="77777777" w:rsidR="006059FC" w:rsidRDefault="006059FC" w:rsidP="00DC0A52">
      <w:pPr>
        <w:pStyle w:val="Caption"/>
      </w:pPr>
    </w:p>
    <w:p w14:paraId="1A31B3D1" w14:textId="77777777" w:rsidR="006059FC" w:rsidRDefault="006059FC" w:rsidP="00DC0A52">
      <w:pPr>
        <w:pStyle w:val="Caption"/>
      </w:pPr>
    </w:p>
    <w:p w14:paraId="7FCC25E0" w14:textId="77777777" w:rsidR="006059FC" w:rsidRDefault="006059FC" w:rsidP="00DC0A52">
      <w:pPr>
        <w:pStyle w:val="Caption"/>
      </w:pPr>
    </w:p>
    <w:p w14:paraId="55D5F11E" w14:textId="77777777" w:rsidR="006059FC" w:rsidRDefault="006059FC" w:rsidP="00DC0A52">
      <w:pPr>
        <w:pStyle w:val="Caption"/>
      </w:pPr>
    </w:p>
    <w:p w14:paraId="0B8FF793" w14:textId="77777777" w:rsidR="006059FC" w:rsidRDefault="006059FC" w:rsidP="00DC0A52">
      <w:pPr>
        <w:pStyle w:val="Caption"/>
      </w:pPr>
    </w:p>
    <w:p w14:paraId="2D19768E" w14:textId="77777777" w:rsidR="006059FC" w:rsidRDefault="006059FC" w:rsidP="00DC0A52">
      <w:pPr>
        <w:pStyle w:val="Caption"/>
      </w:pPr>
    </w:p>
    <w:p w14:paraId="50ACB9B4" w14:textId="1273FCBC" w:rsidR="00DC0A52" w:rsidRDefault="00DC0A52" w:rsidP="00DC0A52">
      <w:pPr>
        <w:pStyle w:val="Caption"/>
      </w:pPr>
      <w:r>
        <w:lastRenderedPageBreak/>
        <w:t xml:space="preserve">Table </w:t>
      </w:r>
      <w:r w:rsidR="001E1660">
        <w:fldChar w:fldCharType="begin"/>
      </w:r>
      <w:r w:rsidR="001E1660">
        <w:instrText xml:space="preserve"> SEQ Table \* ARABIC </w:instrText>
      </w:r>
      <w:r w:rsidR="001E1660">
        <w:fldChar w:fldCharType="separate"/>
      </w:r>
      <w:r w:rsidR="00A41217">
        <w:rPr>
          <w:noProof/>
        </w:rPr>
        <w:t>3</w:t>
      </w:r>
      <w:r w:rsidR="001E1660">
        <w:rPr>
          <w:noProof/>
        </w:rPr>
        <w:fldChar w:fldCharType="end"/>
      </w:r>
      <w:r>
        <w:t>: Estimated mean usual dietary iodine intake for Australians 2 years and above</w:t>
      </w:r>
      <w:bookmarkEnd w:id="23"/>
    </w:p>
    <w:p w14:paraId="5D7348F7" w14:textId="0D5D0A55" w:rsidR="00D277EB" w:rsidRPr="00F475F8" w:rsidRDefault="00DC0A52" w:rsidP="00DC0A52">
      <w:pPr>
        <w:pStyle w:val="Caption"/>
        <w:rPr>
          <w:rFonts w:cs="Arial"/>
          <w:color w:val="000000" w:themeColor="text1"/>
          <w:sz w:val="20"/>
        </w:rPr>
      </w:pPr>
      <w:r>
        <w:t xml:space="preserve"> </w:t>
      </w:r>
    </w:p>
    <w:tbl>
      <w:tblPr>
        <w:tblStyle w:val="TableGrid1"/>
        <w:tblW w:w="9876" w:type="dxa"/>
        <w:tblLayout w:type="fixed"/>
        <w:tblLook w:val="06A0" w:firstRow="1" w:lastRow="0" w:firstColumn="1" w:lastColumn="0" w:noHBand="1" w:noVBand="1"/>
        <w:tblCaption w:val="Table 3: Estimated mean usual dietary iodine intake for Australians 2 years and above"/>
      </w:tblPr>
      <w:tblGrid>
        <w:gridCol w:w="2257"/>
        <w:gridCol w:w="1431"/>
        <w:gridCol w:w="1718"/>
        <w:gridCol w:w="1432"/>
        <w:gridCol w:w="1574"/>
        <w:gridCol w:w="1464"/>
      </w:tblGrid>
      <w:tr w:rsidR="00020FAE" w14:paraId="5D7348F9" w14:textId="77777777" w:rsidTr="006059FC">
        <w:trPr>
          <w:trHeight w:val="55"/>
          <w:tblHeader/>
        </w:trPr>
        <w:tc>
          <w:tcPr>
            <w:tcW w:w="9876" w:type="dxa"/>
            <w:gridSpan w:val="6"/>
            <w:tcBorders>
              <w:left w:val="nil"/>
              <w:right w:val="nil"/>
            </w:tcBorders>
          </w:tcPr>
          <w:p w14:paraId="5D7348F8" w14:textId="77777777" w:rsidR="00020FAE" w:rsidRPr="00AD785A" w:rsidRDefault="00020FAE" w:rsidP="00E51250">
            <w:pPr>
              <w:keepNext/>
              <w:jc w:val="center"/>
              <w:rPr>
                <w:rFonts w:ascii="Arial" w:hAnsi="Arial" w:cs="Arial"/>
                <w:b/>
                <w:sz w:val="20"/>
                <w:szCs w:val="20"/>
              </w:rPr>
            </w:pPr>
            <w:r w:rsidRPr="00AD785A">
              <w:rPr>
                <w:rFonts w:ascii="Arial" w:hAnsi="Arial" w:cs="Arial"/>
                <w:b/>
                <w:sz w:val="20"/>
                <w:szCs w:val="20"/>
              </w:rPr>
              <w:t xml:space="preserve">Estimated mean </w:t>
            </w:r>
            <w:r w:rsidR="008B4898">
              <w:rPr>
                <w:rFonts w:ascii="Arial" w:hAnsi="Arial" w:cs="Arial"/>
                <w:b/>
                <w:sz w:val="20"/>
                <w:szCs w:val="20"/>
              </w:rPr>
              <w:t xml:space="preserve">usual </w:t>
            </w:r>
            <w:r w:rsidRPr="00AD785A">
              <w:rPr>
                <w:rFonts w:ascii="Arial" w:hAnsi="Arial" w:cs="Arial"/>
                <w:b/>
                <w:sz w:val="20"/>
                <w:szCs w:val="20"/>
              </w:rPr>
              <w:t>intake of dietary iodine (</w:t>
            </w:r>
            <w:r w:rsidR="00604882" w:rsidRPr="00AD785A">
              <w:rPr>
                <w:rFonts w:ascii="Arial" w:hAnsi="Arial" w:cs="Arial"/>
                <w:b/>
                <w:sz w:val="20"/>
                <w:szCs w:val="20"/>
              </w:rPr>
              <w:t>µ</w:t>
            </w:r>
            <w:r w:rsidRPr="00AD785A">
              <w:rPr>
                <w:rFonts w:ascii="Arial" w:hAnsi="Arial" w:cs="Arial"/>
                <w:b/>
                <w:sz w:val="20"/>
                <w:szCs w:val="20"/>
              </w:rPr>
              <w:t>g/day)</w:t>
            </w:r>
          </w:p>
        </w:tc>
      </w:tr>
      <w:tr w:rsidR="00020FAE" w14:paraId="5D7348FE" w14:textId="77777777" w:rsidTr="00AD785A">
        <w:trPr>
          <w:trHeight w:val="55"/>
        </w:trPr>
        <w:tc>
          <w:tcPr>
            <w:tcW w:w="2257" w:type="dxa"/>
            <w:vMerge w:val="restart"/>
            <w:tcBorders>
              <w:left w:val="nil"/>
              <w:bottom w:val="single" w:sz="4" w:space="0" w:color="auto"/>
            </w:tcBorders>
          </w:tcPr>
          <w:p w14:paraId="5D7348FA" w14:textId="77777777" w:rsidR="00020FAE" w:rsidRPr="00AD785A" w:rsidRDefault="00020FAE" w:rsidP="00E51250">
            <w:pPr>
              <w:keepNext/>
              <w:rPr>
                <w:rFonts w:ascii="Arial" w:hAnsi="Arial" w:cs="Arial"/>
                <w:b/>
                <w:sz w:val="20"/>
                <w:szCs w:val="20"/>
              </w:rPr>
            </w:pPr>
          </w:p>
          <w:p w14:paraId="5D7348FB" w14:textId="77777777" w:rsidR="00020FAE" w:rsidRPr="00AD785A" w:rsidRDefault="00020FAE" w:rsidP="00E51250">
            <w:pPr>
              <w:keepNext/>
              <w:rPr>
                <w:rFonts w:asciiTheme="minorHAnsi" w:hAnsiTheme="minorHAnsi" w:cs="Arial"/>
                <w:b/>
                <w:sz w:val="20"/>
                <w:szCs w:val="20"/>
              </w:rPr>
            </w:pPr>
            <w:r w:rsidRPr="00AD785A">
              <w:rPr>
                <w:rFonts w:ascii="Arial" w:hAnsi="Arial" w:cs="Arial"/>
                <w:b/>
                <w:sz w:val="20"/>
                <w:szCs w:val="20"/>
              </w:rPr>
              <w:t>Age group (both sexes)</w:t>
            </w:r>
          </w:p>
        </w:tc>
        <w:tc>
          <w:tcPr>
            <w:tcW w:w="4581" w:type="dxa"/>
            <w:gridSpan w:val="3"/>
          </w:tcPr>
          <w:p w14:paraId="5D7348FC" w14:textId="77777777" w:rsidR="00020FAE" w:rsidRPr="00020FAE" w:rsidRDefault="00020FAE" w:rsidP="00E51250">
            <w:pPr>
              <w:keepNext/>
              <w:jc w:val="center"/>
              <w:rPr>
                <w:rFonts w:ascii="Arial" w:hAnsi="Arial" w:cs="Arial"/>
                <w:b/>
                <w:sz w:val="20"/>
                <w:szCs w:val="20"/>
              </w:rPr>
            </w:pPr>
            <w:r w:rsidRPr="00020FAE">
              <w:rPr>
                <w:rFonts w:ascii="Arial" w:hAnsi="Arial" w:cs="Arial"/>
                <w:b/>
                <w:sz w:val="20"/>
                <w:szCs w:val="20"/>
              </w:rPr>
              <w:t>Market weighted model</w:t>
            </w:r>
          </w:p>
        </w:tc>
        <w:tc>
          <w:tcPr>
            <w:tcW w:w="3038" w:type="dxa"/>
            <w:gridSpan w:val="2"/>
            <w:tcBorders>
              <w:right w:val="nil"/>
            </w:tcBorders>
          </w:tcPr>
          <w:p w14:paraId="5D7348FD" w14:textId="77777777" w:rsidR="00020FAE" w:rsidRPr="00020FAE" w:rsidRDefault="00020FAE" w:rsidP="00E51250">
            <w:pPr>
              <w:keepNext/>
              <w:jc w:val="center"/>
              <w:rPr>
                <w:rFonts w:ascii="Arial" w:hAnsi="Arial" w:cs="Arial"/>
                <w:b/>
                <w:sz w:val="20"/>
                <w:szCs w:val="20"/>
              </w:rPr>
            </w:pPr>
            <w:r w:rsidRPr="00020FAE">
              <w:rPr>
                <w:rFonts w:ascii="Arial" w:hAnsi="Arial" w:cs="Arial"/>
                <w:b/>
                <w:sz w:val="20"/>
                <w:szCs w:val="20"/>
              </w:rPr>
              <w:t>Consumer behaviour model</w:t>
            </w:r>
          </w:p>
        </w:tc>
      </w:tr>
      <w:tr w:rsidR="00A727C2" w14:paraId="5D734905" w14:textId="77777777" w:rsidTr="000C25C8">
        <w:trPr>
          <w:trHeight w:val="55"/>
        </w:trPr>
        <w:tc>
          <w:tcPr>
            <w:tcW w:w="2257" w:type="dxa"/>
            <w:vMerge/>
            <w:tcBorders>
              <w:left w:val="nil"/>
              <w:bottom w:val="single" w:sz="4" w:space="0" w:color="auto"/>
            </w:tcBorders>
          </w:tcPr>
          <w:p w14:paraId="5D7348FF" w14:textId="77777777" w:rsidR="00020FAE" w:rsidRPr="00AD785A" w:rsidRDefault="00020FAE" w:rsidP="00E51250">
            <w:pPr>
              <w:keepNext/>
              <w:rPr>
                <w:rFonts w:ascii="Arial" w:hAnsi="Arial" w:cs="Arial"/>
                <w:b/>
                <w:sz w:val="20"/>
                <w:szCs w:val="20"/>
              </w:rPr>
            </w:pPr>
          </w:p>
        </w:tc>
        <w:tc>
          <w:tcPr>
            <w:tcW w:w="1431" w:type="dxa"/>
            <w:tcBorders>
              <w:bottom w:val="single" w:sz="4" w:space="0" w:color="auto"/>
            </w:tcBorders>
          </w:tcPr>
          <w:p w14:paraId="5D734900" w14:textId="77777777" w:rsidR="00020FAE" w:rsidRPr="00020FAE" w:rsidRDefault="00020FAE" w:rsidP="00E51250">
            <w:pPr>
              <w:keepNext/>
              <w:jc w:val="center"/>
              <w:rPr>
                <w:rFonts w:ascii="Arial" w:hAnsi="Arial" w:cs="Arial"/>
                <w:b/>
                <w:color w:val="000000"/>
                <w:sz w:val="20"/>
                <w:szCs w:val="20"/>
              </w:rPr>
            </w:pPr>
            <w:r w:rsidRPr="00020FAE">
              <w:rPr>
                <w:rFonts w:ascii="Arial" w:hAnsi="Arial" w:cs="Arial"/>
                <w:b/>
                <w:color w:val="000000"/>
                <w:sz w:val="20"/>
                <w:szCs w:val="20"/>
              </w:rPr>
              <w:t>Pre-fortification</w:t>
            </w:r>
          </w:p>
        </w:tc>
        <w:tc>
          <w:tcPr>
            <w:tcW w:w="1718" w:type="dxa"/>
            <w:tcBorders>
              <w:bottom w:val="single" w:sz="4" w:space="0" w:color="auto"/>
            </w:tcBorders>
          </w:tcPr>
          <w:p w14:paraId="5D734901" w14:textId="77777777" w:rsidR="00020FAE" w:rsidRPr="00020FAE" w:rsidRDefault="00D225CE" w:rsidP="00E51250">
            <w:pPr>
              <w:keepNext/>
              <w:jc w:val="center"/>
              <w:rPr>
                <w:rFonts w:ascii="Arial" w:hAnsi="Arial" w:cs="Arial"/>
                <w:b/>
                <w:color w:val="000000"/>
                <w:sz w:val="20"/>
                <w:szCs w:val="20"/>
              </w:rPr>
            </w:pPr>
            <w:r>
              <w:rPr>
                <w:rFonts w:ascii="Arial" w:hAnsi="Arial" w:cs="Arial"/>
                <w:b/>
                <w:color w:val="000000"/>
                <w:sz w:val="20"/>
                <w:szCs w:val="20"/>
              </w:rPr>
              <w:t>Post-fortification</w:t>
            </w:r>
            <w:r w:rsidRPr="00D225CE">
              <w:rPr>
                <w:rFonts w:ascii="Arial Bold" w:hAnsi="Arial Bold" w:cs="Arial"/>
                <w:b/>
                <w:color w:val="000000"/>
                <w:sz w:val="20"/>
                <w:szCs w:val="20"/>
                <w:vertAlign w:val="superscript"/>
              </w:rPr>
              <w:t>@</w:t>
            </w:r>
          </w:p>
        </w:tc>
        <w:tc>
          <w:tcPr>
            <w:tcW w:w="1432" w:type="dxa"/>
            <w:tcBorders>
              <w:bottom w:val="single" w:sz="4" w:space="0" w:color="auto"/>
            </w:tcBorders>
          </w:tcPr>
          <w:p w14:paraId="5D734902" w14:textId="77777777" w:rsidR="00020FAE" w:rsidRPr="00020FAE" w:rsidRDefault="00020FAE" w:rsidP="00E51250">
            <w:pPr>
              <w:keepNext/>
              <w:jc w:val="center"/>
              <w:rPr>
                <w:rFonts w:ascii="Arial" w:hAnsi="Arial" w:cs="Arial"/>
                <w:b/>
                <w:color w:val="000000"/>
                <w:sz w:val="20"/>
                <w:szCs w:val="20"/>
              </w:rPr>
            </w:pPr>
            <w:r w:rsidRPr="00020FAE">
              <w:rPr>
                <w:rFonts w:ascii="Arial" w:hAnsi="Arial" w:cs="Arial"/>
                <w:b/>
                <w:color w:val="000000"/>
                <w:sz w:val="20"/>
                <w:szCs w:val="20"/>
              </w:rPr>
              <w:t>Increase in mean intake</w:t>
            </w:r>
          </w:p>
        </w:tc>
        <w:tc>
          <w:tcPr>
            <w:tcW w:w="1574" w:type="dxa"/>
            <w:tcBorders>
              <w:bottom w:val="single" w:sz="4" w:space="0" w:color="auto"/>
            </w:tcBorders>
          </w:tcPr>
          <w:p w14:paraId="5D734903" w14:textId="77777777" w:rsidR="00020FAE" w:rsidRPr="00020FAE" w:rsidRDefault="00020FAE" w:rsidP="00E51250">
            <w:pPr>
              <w:keepNext/>
              <w:jc w:val="center"/>
              <w:rPr>
                <w:rFonts w:ascii="Arial" w:hAnsi="Arial" w:cs="Arial"/>
                <w:b/>
                <w:color w:val="000000"/>
                <w:sz w:val="20"/>
                <w:szCs w:val="20"/>
              </w:rPr>
            </w:pPr>
            <w:r w:rsidRPr="00020FAE">
              <w:rPr>
                <w:rFonts w:ascii="Arial" w:hAnsi="Arial" w:cs="Arial"/>
                <w:b/>
                <w:color w:val="000000"/>
                <w:sz w:val="20"/>
                <w:szCs w:val="20"/>
              </w:rPr>
              <w:t>Pre fortification</w:t>
            </w:r>
          </w:p>
        </w:tc>
        <w:tc>
          <w:tcPr>
            <w:tcW w:w="1464" w:type="dxa"/>
            <w:tcBorders>
              <w:bottom w:val="single" w:sz="4" w:space="0" w:color="auto"/>
              <w:right w:val="nil"/>
            </w:tcBorders>
          </w:tcPr>
          <w:p w14:paraId="5D734904" w14:textId="77777777" w:rsidR="00020FAE" w:rsidRPr="00020FAE" w:rsidRDefault="00020FAE" w:rsidP="00E51250">
            <w:pPr>
              <w:keepNext/>
              <w:jc w:val="center"/>
              <w:rPr>
                <w:rFonts w:ascii="Arial" w:hAnsi="Arial" w:cs="Arial"/>
                <w:b/>
                <w:color w:val="000000"/>
                <w:sz w:val="20"/>
                <w:szCs w:val="20"/>
              </w:rPr>
            </w:pPr>
            <w:r w:rsidRPr="00020FAE">
              <w:rPr>
                <w:rFonts w:ascii="Arial" w:hAnsi="Arial" w:cs="Arial"/>
                <w:b/>
                <w:color w:val="000000"/>
                <w:sz w:val="20"/>
                <w:szCs w:val="20"/>
              </w:rPr>
              <w:t>Post-fortification</w:t>
            </w:r>
            <w:r w:rsidR="00D225CE" w:rsidRPr="00D225CE">
              <w:rPr>
                <w:rFonts w:ascii="Arial Bold" w:hAnsi="Arial Bold" w:cs="Arial"/>
                <w:b/>
                <w:color w:val="000000"/>
                <w:sz w:val="20"/>
                <w:szCs w:val="20"/>
                <w:vertAlign w:val="superscript"/>
              </w:rPr>
              <w:t>@</w:t>
            </w:r>
          </w:p>
        </w:tc>
      </w:tr>
      <w:tr w:rsidR="00A727C2" w14:paraId="5D73490C" w14:textId="77777777" w:rsidTr="000C25C8">
        <w:trPr>
          <w:trHeight w:val="55"/>
        </w:trPr>
        <w:tc>
          <w:tcPr>
            <w:tcW w:w="2257" w:type="dxa"/>
            <w:tcBorders>
              <w:top w:val="single" w:sz="4" w:space="0" w:color="auto"/>
              <w:left w:val="nil"/>
              <w:bottom w:val="nil"/>
              <w:right w:val="nil"/>
            </w:tcBorders>
          </w:tcPr>
          <w:p w14:paraId="5D734906"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2-3 years</w:t>
            </w:r>
            <w:r w:rsidR="000B42F4" w:rsidRPr="00AD785A">
              <w:rPr>
                <w:rFonts w:ascii="Arial Bold" w:hAnsi="Arial Bold" w:cs="Arial"/>
                <w:b/>
                <w:sz w:val="20"/>
                <w:szCs w:val="20"/>
                <w:vertAlign w:val="superscript"/>
              </w:rPr>
              <w:t>#</w:t>
            </w:r>
          </w:p>
        </w:tc>
        <w:tc>
          <w:tcPr>
            <w:tcW w:w="1431" w:type="dxa"/>
            <w:tcBorders>
              <w:top w:val="single" w:sz="4" w:space="0" w:color="auto"/>
              <w:left w:val="nil"/>
              <w:bottom w:val="nil"/>
              <w:right w:val="nil"/>
            </w:tcBorders>
          </w:tcPr>
          <w:p w14:paraId="5D734907"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127</w:t>
            </w:r>
          </w:p>
        </w:tc>
        <w:tc>
          <w:tcPr>
            <w:tcW w:w="1718" w:type="dxa"/>
            <w:tcBorders>
              <w:top w:val="single" w:sz="4" w:space="0" w:color="auto"/>
              <w:left w:val="nil"/>
              <w:bottom w:val="nil"/>
              <w:right w:val="nil"/>
            </w:tcBorders>
          </w:tcPr>
          <w:p w14:paraId="5D734908"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164</w:t>
            </w:r>
          </w:p>
        </w:tc>
        <w:tc>
          <w:tcPr>
            <w:tcW w:w="1432" w:type="dxa"/>
            <w:tcBorders>
              <w:top w:val="single" w:sz="4" w:space="0" w:color="auto"/>
              <w:left w:val="nil"/>
              <w:bottom w:val="nil"/>
              <w:right w:val="nil"/>
            </w:tcBorders>
          </w:tcPr>
          <w:p w14:paraId="5D734909"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37</w:t>
            </w:r>
          </w:p>
        </w:tc>
        <w:tc>
          <w:tcPr>
            <w:tcW w:w="1574" w:type="dxa"/>
            <w:tcBorders>
              <w:top w:val="single" w:sz="4" w:space="0" w:color="auto"/>
              <w:left w:val="nil"/>
              <w:bottom w:val="nil"/>
              <w:right w:val="nil"/>
            </w:tcBorders>
          </w:tcPr>
          <w:p w14:paraId="5D73490A"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120</w:t>
            </w:r>
          </w:p>
        </w:tc>
        <w:tc>
          <w:tcPr>
            <w:tcW w:w="1464" w:type="dxa"/>
            <w:tcBorders>
              <w:top w:val="single" w:sz="4" w:space="0" w:color="auto"/>
              <w:left w:val="nil"/>
              <w:bottom w:val="nil"/>
              <w:right w:val="nil"/>
            </w:tcBorders>
          </w:tcPr>
          <w:p w14:paraId="5D73490B"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157</w:t>
            </w:r>
          </w:p>
        </w:tc>
      </w:tr>
      <w:tr w:rsidR="00A727C2" w14:paraId="5D734913" w14:textId="77777777" w:rsidTr="000C25C8">
        <w:trPr>
          <w:trHeight w:val="55"/>
        </w:trPr>
        <w:tc>
          <w:tcPr>
            <w:tcW w:w="2257" w:type="dxa"/>
            <w:tcBorders>
              <w:top w:val="nil"/>
              <w:left w:val="nil"/>
              <w:bottom w:val="nil"/>
              <w:right w:val="nil"/>
            </w:tcBorders>
          </w:tcPr>
          <w:p w14:paraId="5D73490D"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4-8 years</w:t>
            </w:r>
            <w:r w:rsidR="000B42F4" w:rsidRPr="00AD785A">
              <w:rPr>
                <w:rFonts w:ascii="Arial Bold" w:hAnsi="Arial Bold" w:cs="Arial"/>
                <w:b/>
                <w:sz w:val="20"/>
                <w:szCs w:val="20"/>
                <w:vertAlign w:val="superscript"/>
              </w:rPr>
              <w:t>#</w:t>
            </w:r>
          </w:p>
        </w:tc>
        <w:tc>
          <w:tcPr>
            <w:tcW w:w="1431" w:type="dxa"/>
            <w:tcBorders>
              <w:top w:val="nil"/>
              <w:left w:val="nil"/>
              <w:bottom w:val="nil"/>
              <w:right w:val="nil"/>
            </w:tcBorders>
          </w:tcPr>
          <w:p w14:paraId="5D73490E"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120</w:t>
            </w:r>
          </w:p>
        </w:tc>
        <w:tc>
          <w:tcPr>
            <w:tcW w:w="1718" w:type="dxa"/>
            <w:tcBorders>
              <w:top w:val="nil"/>
              <w:left w:val="nil"/>
              <w:bottom w:val="nil"/>
              <w:right w:val="nil"/>
            </w:tcBorders>
          </w:tcPr>
          <w:p w14:paraId="5D73490F"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171</w:t>
            </w:r>
          </w:p>
        </w:tc>
        <w:tc>
          <w:tcPr>
            <w:tcW w:w="1432" w:type="dxa"/>
            <w:tcBorders>
              <w:top w:val="nil"/>
              <w:left w:val="nil"/>
              <w:bottom w:val="nil"/>
              <w:right w:val="nil"/>
            </w:tcBorders>
          </w:tcPr>
          <w:p w14:paraId="5D734910"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51</w:t>
            </w:r>
          </w:p>
        </w:tc>
        <w:tc>
          <w:tcPr>
            <w:tcW w:w="1574" w:type="dxa"/>
            <w:tcBorders>
              <w:top w:val="nil"/>
              <w:left w:val="nil"/>
              <w:bottom w:val="nil"/>
              <w:right w:val="nil"/>
            </w:tcBorders>
          </w:tcPr>
          <w:p w14:paraId="5D734911"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111</w:t>
            </w:r>
          </w:p>
        </w:tc>
        <w:tc>
          <w:tcPr>
            <w:tcW w:w="1464" w:type="dxa"/>
            <w:tcBorders>
              <w:top w:val="nil"/>
              <w:left w:val="nil"/>
              <w:bottom w:val="nil"/>
              <w:right w:val="nil"/>
            </w:tcBorders>
          </w:tcPr>
          <w:p w14:paraId="5D734912"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161</w:t>
            </w:r>
          </w:p>
        </w:tc>
      </w:tr>
      <w:tr w:rsidR="00A727C2" w14:paraId="5D73491A" w14:textId="77777777" w:rsidTr="000C25C8">
        <w:trPr>
          <w:trHeight w:val="55"/>
        </w:trPr>
        <w:tc>
          <w:tcPr>
            <w:tcW w:w="2257" w:type="dxa"/>
            <w:tcBorders>
              <w:top w:val="nil"/>
              <w:left w:val="nil"/>
              <w:bottom w:val="nil"/>
              <w:right w:val="nil"/>
            </w:tcBorders>
          </w:tcPr>
          <w:p w14:paraId="5D734914"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9-13 years</w:t>
            </w:r>
            <w:r w:rsidR="000B42F4" w:rsidRPr="00AD785A">
              <w:rPr>
                <w:rFonts w:ascii="Arial Bold" w:hAnsi="Arial Bold" w:cs="Arial"/>
                <w:b/>
                <w:sz w:val="20"/>
                <w:szCs w:val="20"/>
                <w:vertAlign w:val="superscript"/>
              </w:rPr>
              <w:t>#</w:t>
            </w:r>
          </w:p>
        </w:tc>
        <w:tc>
          <w:tcPr>
            <w:tcW w:w="1431" w:type="dxa"/>
            <w:tcBorders>
              <w:top w:val="nil"/>
              <w:left w:val="nil"/>
              <w:bottom w:val="nil"/>
              <w:right w:val="nil"/>
            </w:tcBorders>
          </w:tcPr>
          <w:p w14:paraId="5D734915"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141</w:t>
            </w:r>
          </w:p>
        </w:tc>
        <w:tc>
          <w:tcPr>
            <w:tcW w:w="1718" w:type="dxa"/>
            <w:tcBorders>
              <w:top w:val="nil"/>
              <w:left w:val="nil"/>
              <w:bottom w:val="nil"/>
              <w:right w:val="nil"/>
            </w:tcBorders>
          </w:tcPr>
          <w:p w14:paraId="5D734916"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196</w:t>
            </w:r>
          </w:p>
        </w:tc>
        <w:tc>
          <w:tcPr>
            <w:tcW w:w="1432" w:type="dxa"/>
            <w:tcBorders>
              <w:top w:val="nil"/>
              <w:left w:val="nil"/>
              <w:bottom w:val="nil"/>
              <w:right w:val="nil"/>
            </w:tcBorders>
          </w:tcPr>
          <w:p w14:paraId="5D734917"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55</w:t>
            </w:r>
          </w:p>
        </w:tc>
        <w:tc>
          <w:tcPr>
            <w:tcW w:w="1574" w:type="dxa"/>
            <w:tcBorders>
              <w:top w:val="nil"/>
              <w:left w:val="nil"/>
              <w:bottom w:val="nil"/>
              <w:right w:val="nil"/>
            </w:tcBorders>
          </w:tcPr>
          <w:p w14:paraId="5D734918"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127</w:t>
            </w:r>
          </w:p>
        </w:tc>
        <w:tc>
          <w:tcPr>
            <w:tcW w:w="1464" w:type="dxa"/>
            <w:tcBorders>
              <w:top w:val="nil"/>
              <w:left w:val="nil"/>
              <w:bottom w:val="nil"/>
              <w:right w:val="nil"/>
            </w:tcBorders>
          </w:tcPr>
          <w:p w14:paraId="5D734919"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182</w:t>
            </w:r>
          </w:p>
        </w:tc>
      </w:tr>
      <w:tr w:rsidR="00A727C2" w14:paraId="5D734921" w14:textId="77777777" w:rsidTr="000C25C8">
        <w:trPr>
          <w:trHeight w:val="55"/>
        </w:trPr>
        <w:tc>
          <w:tcPr>
            <w:tcW w:w="2257" w:type="dxa"/>
            <w:tcBorders>
              <w:top w:val="nil"/>
              <w:left w:val="nil"/>
              <w:bottom w:val="nil"/>
              <w:right w:val="nil"/>
            </w:tcBorders>
          </w:tcPr>
          <w:p w14:paraId="5D73491B"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14-16 years</w:t>
            </w:r>
            <w:r w:rsidR="000B42F4" w:rsidRPr="00AD785A">
              <w:rPr>
                <w:rFonts w:ascii="Arial Bold" w:hAnsi="Arial Bold" w:cs="Arial"/>
                <w:b/>
                <w:sz w:val="20"/>
                <w:szCs w:val="20"/>
                <w:vertAlign w:val="superscript"/>
              </w:rPr>
              <w:t>#</w:t>
            </w:r>
          </w:p>
        </w:tc>
        <w:tc>
          <w:tcPr>
            <w:tcW w:w="1431" w:type="dxa"/>
            <w:tcBorders>
              <w:top w:val="nil"/>
              <w:left w:val="nil"/>
              <w:bottom w:val="nil"/>
              <w:right w:val="nil"/>
            </w:tcBorders>
          </w:tcPr>
          <w:p w14:paraId="5D73491C"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154</w:t>
            </w:r>
          </w:p>
        </w:tc>
        <w:tc>
          <w:tcPr>
            <w:tcW w:w="1718" w:type="dxa"/>
            <w:tcBorders>
              <w:top w:val="nil"/>
              <w:left w:val="nil"/>
              <w:bottom w:val="nil"/>
              <w:right w:val="nil"/>
            </w:tcBorders>
          </w:tcPr>
          <w:p w14:paraId="5D73491D"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216</w:t>
            </w:r>
          </w:p>
        </w:tc>
        <w:tc>
          <w:tcPr>
            <w:tcW w:w="1432" w:type="dxa"/>
            <w:tcBorders>
              <w:top w:val="nil"/>
              <w:left w:val="nil"/>
              <w:bottom w:val="nil"/>
              <w:right w:val="nil"/>
            </w:tcBorders>
          </w:tcPr>
          <w:p w14:paraId="5D73491E"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62</w:t>
            </w:r>
          </w:p>
        </w:tc>
        <w:tc>
          <w:tcPr>
            <w:tcW w:w="1574" w:type="dxa"/>
            <w:tcBorders>
              <w:top w:val="nil"/>
              <w:left w:val="nil"/>
              <w:bottom w:val="nil"/>
              <w:right w:val="nil"/>
            </w:tcBorders>
          </w:tcPr>
          <w:p w14:paraId="5D73491F"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136</w:t>
            </w:r>
          </w:p>
        </w:tc>
        <w:tc>
          <w:tcPr>
            <w:tcW w:w="1464" w:type="dxa"/>
            <w:tcBorders>
              <w:top w:val="nil"/>
              <w:left w:val="nil"/>
              <w:bottom w:val="nil"/>
              <w:right w:val="nil"/>
            </w:tcBorders>
          </w:tcPr>
          <w:p w14:paraId="5D734920"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198</w:t>
            </w:r>
          </w:p>
        </w:tc>
      </w:tr>
      <w:tr w:rsidR="00A727C2" w14:paraId="5D734928" w14:textId="77777777" w:rsidTr="000C25C8">
        <w:trPr>
          <w:trHeight w:val="55"/>
        </w:trPr>
        <w:tc>
          <w:tcPr>
            <w:tcW w:w="2257" w:type="dxa"/>
            <w:tcBorders>
              <w:top w:val="nil"/>
              <w:left w:val="nil"/>
              <w:bottom w:val="nil"/>
              <w:right w:val="nil"/>
            </w:tcBorders>
          </w:tcPr>
          <w:p w14:paraId="5D734922"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2-16 years</w:t>
            </w:r>
            <w:r w:rsidR="000B42F4" w:rsidRPr="00AD785A">
              <w:rPr>
                <w:rFonts w:ascii="Arial Bold" w:hAnsi="Arial Bold" w:cs="Arial"/>
                <w:b/>
                <w:sz w:val="20"/>
                <w:szCs w:val="20"/>
                <w:vertAlign w:val="superscript"/>
              </w:rPr>
              <w:t>#</w:t>
            </w:r>
          </w:p>
        </w:tc>
        <w:tc>
          <w:tcPr>
            <w:tcW w:w="1431" w:type="dxa"/>
            <w:tcBorders>
              <w:top w:val="nil"/>
              <w:left w:val="nil"/>
              <w:bottom w:val="nil"/>
              <w:right w:val="nil"/>
            </w:tcBorders>
          </w:tcPr>
          <w:p w14:paraId="5D734923"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135</w:t>
            </w:r>
          </w:p>
        </w:tc>
        <w:tc>
          <w:tcPr>
            <w:tcW w:w="1718" w:type="dxa"/>
            <w:tcBorders>
              <w:top w:val="nil"/>
              <w:left w:val="nil"/>
              <w:bottom w:val="nil"/>
              <w:right w:val="nil"/>
            </w:tcBorders>
          </w:tcPr>
          <w:p w14:paraId="5D734924"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187</w:t>
            </w:r>
          </w:p>
        </w:tc>
        <w:tc>
          <w:tcPr>
            <w:tcW w:w="1432" w:type="dxa"/>
            <w:tcBorders>
              <w:top w:val="nil"/>
              <w:left w:val="nil"/>
              <w:bottom w:val="nil"/>
              <w:right w:val="nil"/>
            </w:tcBorders>
          </w:tcPr>
          <w:p w14:paraId="5D734925"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52</w:t>
            </w:r>
          </w:p>
        </w:tc>
        <w:tc>
          <w:tcPr>
            <w:tcW w:w="1574" w:type="dxa"/>
            <w:tcBorders>
              <w:top w:val="nil"/>
              <w:left w:val="nil"/>
              <w:bottom w:val="nil"/>
              <w:right w:val="nil"/>
            </w:tcBorders>
          </w:tcPr>
          <w:p w14:paraId="5D734926"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122</w:t>
            </w:r>
          </w:p>
        </w:tc>
        <w:tc>
          <w:tcPr>
            <w:tcW w:w="1464" w:type="dxa"/>
            <w:tcBorders>
              <w:top w:val="nil"/>
              <w:left w:val="nil"/>
              <w:bottom w:val="nil"/>
              <w:right w:val="nil"/>
            </w:tcBorders>
          </w:tcPr>
          <w:p w14:paraId="5D734927"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175</w:t>
            </w:r>
          </w:p>
        </w:tc>
      </w:tr>
      <w:tr w:rsidR="00A727C2" w14:paraId="5D73492F" w14:textId="77777777" w:rsidTr="000C25C8">
        <w:trPr>
          <w:trHeight w:val="55"/>
        </w:trPr>
        <w:tc>
          <w:tcPr>
            <w:tcW w:w="2257" w:type="dxa"/>
            <w:tcBorders>
              <w:top w:val="nil"/>
              <w:left w:val="nil"/>
              <w:bottom w:val="nil"/>
              <w:right w:val="nil"/>
            </w:tcBorders>
          </w:tcPr>
          <w:p w14:paraId="5D734929"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17-18 years</w:t>
            </w:r>
            <w:r w:rsidR="000B42F4" w:rsidRPr="00AD785A">
              <w:rPr>
                <w:rFonts w:ascii="Arial" w:hAnsi="Arial" w:cs="Arial"/>
                <w:b/>
                <w:sz w:val="20"/>
                <w:szCs w:val="20"/>
              </w:rPr>
              <w:t>*</w:t>
            </w:r>
          </w:p>
        </w:tc>
        <w:tc>
          <w:tcPr>
            <w:tcW w:w="1431" w:type="dxa"/>
            <w:tcBorders>
              <w:top w:val="nil"/>
              <w:left w:val="nil"/>
              <w:bottom w:val="nil"/>
              <w:right w:val="nil"/>
            </w:tcBorders>
          </w:tcPr>
          <w:p w14:paraId="5D73492A"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119</w:t>
            </w:r>
          </w:p>
        </w:tc>
        <w:tc>
          <w:tcPr>
            <w:tcW w:w="1718" w:type="dxa"/>
            <w:tcBorders>
              <w:top w:val="nil"/>
              <w:left w:val="nil"/>
              <w:bottom w:val="nil"/>
              <w:right w:val="nil"/>
            </w:tcBorders>
          </w:tcPr>
          <w:p w14:paraId="5D73492B"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182</w:t>
            </w:r>
          </w:p>
        </w:tc>
        <w:tc>
          <w:tcPr>
            <w:tcW w:w="1432" w:type="dxa"/>
            <w:tcBorders>
              <w:top w:val="nil"/>
              <w:left w:val="nil"/>
              <w:bottom w:val="nil"/>
              <w:right w:val="nil"/>
            </w:tcBorders>
          </w:tcPr>
          <w:p w14:paraId="5D73492C"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63</w:t>
            </w:r>
          </w:p>
        </w:tc>
        <w:tc>
          <w:tcPr>
            <w:tcW w:w="1574" w:type="dxa"/>
            <w:tcBorders>
              <w:top w:val="nil"/>
              <w:left w:val="nil"/>
              <w:bottom w:val="nil"/>
              <w:right w:val="nil"/>
            </w:tcBorders>
          </w:tcPr>
          <w:p w14:paraId="5D73492D"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108 - 159</w:t>
            </w:r>
          </w:p>
        </w:tc>
        <w:tc>
          <w:tcPr>
            <w:tcW w:w="1464" w:type="dxa"/>
            <w:tcBorders>
              <w:top w:val="nil"/>
              <w:left w:val="nil"/>
              <w:bottom w:val="nil"/>
              <w:right w:val="nil"/>
            </w:tcBorders>
          </w:tcPr>
          <w:p w14:paraId="5D73492E"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171 - 225</w:t>
            </w:r>
          </w:p>
        </w:tc>
      </w:tr>
      <w:tr w:rsidR="00A727C2" w14:paraId="5D734936" w14:textId="77777777" w:rsidTr="000C25C8">
        <w:trPr>
          <w:trHeight w:val="55"/>
        </w:trPr>
        <w:tc>
          <w:tcPr>
            <w:tcW w:w="2257" w:type="dxa"/>
            <w:tcBorders>
              <w:top w:val="nil"/>
              <w:left w:val="nil"/>
              <w:bottom w:val="nil"/>
              <w:right w:val="nil"/>
            </w:tcBorders>
          </w:tcPr>
          <w:p w14:paraId="5D734930"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19-29 years</w:t>
            </w:r>
            <w:r w:rsidR="000B42F4" w:rsidRPr="00AD785A">
              <w:rPr>
                <w:rFonts w:ascii="Arial" w:hAnsi="Arial" w:cs="Arial"/>
                <w:b/>
                <w:sz w:val="20"/>
                <w:szCs w:val="20"/>
              </w:rPr>
              <w:t>*</w:t>
            </w:r>
          </w:p>
        </w:tc>
        <w:tc>
          <w:tcPr>
            <w:tcW w:w="1431" w:type="dxa"/>
            <w:tcBorders>
              <w:top w:val="nil"/>
              <w:left w:val="nil"/>
              <w:bottom w:val="nil"/>
              <w:right w:val="nil"/>
            </w:tcBorders>
          </w:tcPr>
          <w:p w14:paraId="5D734931"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116</w:t>
            </w:r>
          </w:p>
        </w:tc>
        <w:tc>
          <w:tcPr>
            <w:tcW w:w="1718" w:type="dxa"/>
            <w:tcBorders>
              <w:top w:val="nil"/>
              <w:left w:val="nil"/>
              <w:bottom w:val="nil"/>
              <w:right w:val="nil"/>
            </w:tcBorders>
          </w:tcPr>
          <w:p w14:paraId="5D734932"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180</w:t>
            </w:r>
          </w:p>
        </w:tc>
        <w:tc>
          <w:tcPr>
            <w:tcW w:w="1432" w:type="dxa"/>
            <w:tcBorders>
              <w:top w:val="nil"/>
              <w:left w:val="nil"/>
              <w:bottom w:val="nil"/>
              <w:right w:val="nil"/>
            </w:tcBorders>
          </w:tcPr>
          <w:p w14:paraId="5D734933"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64</w:t>
            </w:r>
          </w:p>
        </w:tc>
        <w:tc>
          <w:tcPr>
            <w:tcW w:w="1574" w:type="dxa"/>
            <w:tcBorders>
              <w:top w:val="nil"/>
              <w:left w:val="nil"/>
              <w:bottom w:val="nil"/>
              <w:right w:val="nil"/>
            </w:tcBorders>
          </w:tcPr>
          <w:p w14:paraId="5D734934"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106 - 154</w:t>
            </w:r>
          </w:p>
        </w:tc>
        <w:tc>
          <w:tcPr>
            <w:tcW w:w="1464" w:type="dxa"/>
            <w:tcBorders>
              <w:top w:val="nil"/>
              <w:left w:val="nil"/>
              <w:bottom w:val="nil"/>
              <w:right w:val="nil"/>
            </w:tcBorders>
          </w:tcPr>
          <w:p w14:paraId="5D734935"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170 - 219</w:t>
            </w:r>
          </w:p>
        </w:tc>
      </w:tr>
      <w:tr w:rsidR="00A727C2" w14:paraId="5D73493D" w14:textId="77777777" w:rsidTr="000C25C8">
        <w:trPr>
          <w:trHeight w:val="55"/>
        </w:trPr>
        <w:tc>
          <w:tcPr>
            <w:tcW w:w="2257" w:type="dxa"/>
            <w:tcBorders>
              <w:top w:val="nil"/>
              <w:left w:val="nil"/>
              <w:bottom w:val="nil"/>
              <w:right w:val="nil"/>
            </w:tcBorders>
          </w:tcPr>
          <w:p w14:paraId="5D734937"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30-49 years</w:t>
            </w:r>
            <w:r w:rsidR="000B42F4" w:rsidRPr="00AD785A">
              <w:rPr>
                <w:rFonts w:ascii="Arial" w:hAnsi="Arial" w:cs="Arial"/>
                <w:b/>
                <w:sz w:val="20"/>
                <w:szCs w:val="20"/>
              </w:rPr>
              <w:t>*</w:t>
            </w:r>
          </w:p>
        </w:tc>
        <w:tc>
          <w:tcPr>
            <w:tcW w:w="1431" w:type="dxa"/>
            <w:tcBorders>
              <w:top w:val="nil"/>
              <w:left w:val="nil"/>
              <w:bottom w:val="nil"/>
              <w:right w:val="nil"/>
            </w:tcBorders>
          </w:tcPr>
          <w:p w14:paraId="5D734938"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108</w:t>
            </w:r>
          </w:p>
        </w:tc>
        <w:tc>
          <w:tcPr>
            <w:tcW w:w="1718" w:type="dxa"/>
            <w:tcBorders>
              <w:top w:val="nil"/>
              <w:left w:val="nil"/>
              <w:bottom w:val="nil"/>
              <w:right w:val="nil"/>
            </w:tcBorders>
          </w:tcPr>
          <w:p w14:paraId="5D734939"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170</w:t>
            </w:r>
          </w:p>
        </w:tc>
        <w:tc>
          <w:tcPr>
            <w:tcW w:w="1432" w:type="dxa"/>
            <w:tcBorders>
              <w:top w:val="nil"/>
              <w:left w:val="nil"/>
              <w:bottom w:val="nil"/>
              <w:right w:val="nil"/>
            </w:tcBorders>
          </w:tcPr>
          <w:p w14:paraId="5D73493A"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62</w:t>
            </w:r>
          </w:p>
        </w:tc>
        <w:tc>
          <w:tcPr>
            <w:tcW w:w="1574" w:type="dxa"/>
            <w:tcBorders>
              <w:top w:val="nil"/>
              <w:left w:val="nil"/>
              <w:bottom w:val="nil"/>
              <w:right w:val="nil"/>
            </w:tcBorders>
          </w:tcPr>
          <w:p w14:paraId="5D73493B"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99 - 144</w:t>
            </w:r>
          </w:p>
        </w:tc>
        <w:tc>
          <w:tcPr>
            <w:tcW w:w="1464" w:type="dxa"/>
            <w:tcBorders>
              <w:top w:val="nil"/>
              <w:left w:val="nil"/>
              <w:bottom w:val="nil"/>
              <w:right w:val="nil"/>
            </w:tcBorders>
          </w:tcPr>
          <w:p w14:paraId="5D73493C"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161 - 207</w:t>
            </w:r>
          </w:p>
        </w:tc>
      </w:tr>
      <w:tr w:rsidR="00A727C2" w14:paraId="5D734944" w14:textId="77777777" w:rsidTr="000C25C8">
        <w:trPr>
          <w:trHeight w:val="55"/>
        </w:trPr>
        <w:tc>
          <w:tcPr>
            <w:tcW w:w="2257" w:type="dxa"/>
            <w:tcBorders>
              <w:top w:val="nil"/>
              <w:left w:val="nil"/>
              <w:bottom w:val="nil"/>
              <w:right w:val="nil"/>
            </w:tcBorders>
          </w:tcPr>
          <w:p w14:paraId="5D73493E"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50-69 years</w:t>
            </w:r>
            <w:r w:rsidR="000B42F4" w:rsidRPr="00AD785A">
              <w:rPr>
                <w:rFonts w:ascii="Arial" w:hAnsi="Arial" w:cs="Arial"/>
                <w:b/>
                <w:sz w:val="20"/>
                <w:szCs w:val="20"/>
              </w:rPr>
              <w:t>*</w:t>
            </w:r>
          </w:p>
        </w:tc>
        <w:tc>
          <w:tcPr>
            <w:tcW w:w="1431" w:type="dxa"/>
            <w:tcBorders>
              <w:top w:val="nil"/>
              <w:left w:val="nil"/>
              <w:bottom w:val="nil"/>
              <w:right w:val="nil"/>
            </w:tcBorders>
          </w:tcPr>
          <w:p w14:paraId="5D73493F"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103</w:t>
            </w:r>
          </w:p>
        </w:tc>
        <w:tc>
          <w:tcPr>
            <w:tcW w:w="1718" w:type="dxa"/>
            <w:tcBorders>
              <w:top w:val="nil"/>
              <w:left w:val="nil"/>
              <w:bottom w:val="nil"/>
              <w:right w:val="nil"/>
            </w:tcBorders>
          </w:tcPr>
          <w:p w14:paraId="5D734940"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162</w:t>
            </w:r>
          </w:p>
        </w:tc>
        <w:tc>
          <w:tcPr>
            <w:tcW w:w="1432" w:type="dxa"/>
            <w:tcBorders>
              <w:top w:val="nil"/>
              <w:left w:val="nil"/>
              <w:bottom w:val="nil"/>
              <w:right w:val="nil"/>
            </w:tcBorders>
          </w:tcPr>
          <w:p w14:paraId="5D734941"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59</w:t>
            </w:r>
          </w:p>
        </w:tc>
        <w:tc>
          <w:tcPr>
            <w:tcW w:w="1574" w:type="dxa"/>
            <w:tcBorders>
              <w:top w:val="nil"/>
              <w:left w:val="nil"/>
              <w:bottom w:val="nil"/>
              <w:right w:val="nil"/>
            </w:tcBorders>
          </w:tcPr>
          <w:p w14:paraId="5D734942"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 xml:space="preserve">93 - 142 </w:t>
            </w:r>
          </w:p>
        </w:tc>
        <w:tc>
          <w:tcPr>
            <w:tcW w:w="1464" w:type="dxa"/>
            <w:tcBorders>
              <w:top w:val="nil"/>
              <w:left w:val="nil"/>
              <w:bottom w:val="nil"/>
              <w:right w:val="nil"/>
            </w:tcBorders>
          </w:tcPr>
          <w:p w14:paraId="5D734943"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152 - 201</w:t>
            </w:r>
          </w:p>
        </w:tc>
      </w:tr>
      <w:tr w:rsidR="00A727C2" w14:paraId="5D73494B" w14:textId="77777777" w:rsidTr="000C25C8">
        <w:trPr>
          <w:trHeight w:val="55"/>
        </w:trPr>
        <w:tc>
          <w:tcPr>
            <w:tcW w:w="2257" w:type="dxa"/>
            <w:tcBorders>
              <w:top w:val="nil"/>
              <w:left w:val="nil"/>
              <w:bottom w:val="single" w:sz="4" w:space="0" w:color="auto"/>
              <w:right w:val="nil"/>
            </w:tcBorders>
          </w:tcPr>
          <w:p w14:paraId="5D734945"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70 years and above</w:t>
            </w:r>
            <w:r w:rsidR="000B42F4" w:rsidRPr="00AD785A">
              <w:rPr>
                <w:rFonts w:ascii="Arial" w:hAnsi="Arial" w:cs="Arial"/>
                <w:b/>
                <w:sz w:val="20"/>
                <w:szCs w:val="20"/>
              </w:rPr>
              <w:t>*</w:t>
            </w:r>
          </w:p>
        </w:tc>
        <w:tc>
          <w:tcPr>
            <w:tcW w:w="1431" w:type="dxa"/>
            <w:tcBorders>
              <w:top w:val="nil"/>
              <w:left w:val="nil"/>
              <w:bottom w:val="single" w:sz="4" w:space="0" w:color="auto"/>
              <w:right w:val="nil"/>
            </w:tcBorders>
          </w:tcPr>
          <w:p w14:paraId="5D734946"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94</w:t>
            </w:r>
          </w:p>
        </w:tc>
        <w:tc>
          <w:tcPr>
            <w:tcW w:w="1718" w:type="dxa"/>
            <w:tcBorders>
              <w:top w:val="nil"/>
              <w:left w:val="nil"/>
              <w:bottom w:val="single" w:sz="4" w:space="0" w:color="auto"/>
              <w:right w:val="nil"/>
            </w:tcBorders>
          </w:tcPr>
          <w:p w14:paraId="5D734947"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151</w:t>
            </w:r>
          </w:p>
        </w:tc>
        <w:tc>
          <w:tcPr>
            <w:tcW w:w="1432" w:type="dxa"/>
            <w:tcBorders>
              <w:top w:val="nil"/>
              <w:left w:val="nil"/>
              <w:bottom w:val="single" w:sz="4" w:space="0" w:color="auto"/>
              <w:right w:val="nil"/>
            </w:tcBorders>
          </w:tcPr>
          <w:p w14:paraId="5D734948"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56</w:t>
            </w:r>
          </w:p>
        </w:tc>
        <w:tc>
          <w:tcPr>
            <w:tcW w:w="1574" w:type="dxa"/>
            <w:tcBorders>
              <w:top w:val="nil"/>
              <w:left w:val="nil"/>
              <w:bottom w:val="single" w:sz="4" w:space="0" w:color="auto"/>
              <w:right w:val="nil"/>
            </w:tcBorders>
          </w:tcPr>
          <w:p w14:paraId="5D734949"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85 - 131</w:t>
            </w:r>
          </w:p>
        </w:tc>
        <w:tc>
          <w:tcPr>
            <w:tcW w:w="1464" w:type="dxa"/>
            <w:tcBorders>
              <w:top w:val="nil"/>
              <w:left w:val="nil"/>
              <w:bottom w:val="single" w:sz="4" w:space="0" w:color="auto"/>
              <w:right w:val="nil"/>
            </w:tcBorders>
          </w:tcPr>
          <w:p w14:paraId="5D73494A"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141 - 187</w:t>
            </w:r>
          </w:p>
        </w:tc>
      </w:tr>
      <w:tr w:rsidR="00A727C2" w14:paraId="5D734952" w14:textId="77777777" w:rsidTr="000C25C8">
        <w:trPr>
          <w:trHeight w:val="594"/>
        </w:trPr>
        <w:tc>
          <w:tcPr>
            <w:tcW w:w="2257" w:type="dxa"/>
            <w:tcBorders>
              <w:top w:val="single" w:sz="4" w:space="0" w:color="auto"/>
              <w:left w:val="nil"/>
              <w:bottom w:val="nil"/>
              <w:right w:val="nil"/>
            </w:tcBorders>
          </w:tcPr>
          <w:p w14:paraId="5D73494C"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17 years and above</w:t>
            </w:r>
            <w:r w:rsidR="000B42F4" w:rsidRPr="00AD785A">
              <w:rPr>
                <w:rFonts w:ascii="Arial" w:hAnsi="Arial" w:cs="Arial"/>
                <w:b/>
                <w:sz w:val="20"/>
                <w:szCs w:val="20"/>
              </w:rPr>
              <w:t>*</w:t>
            </w:r>
          </w:p>
        </w:tc>
        <w:tc>
          <w:tcPr>
            <w:tcW w:w="1431" w:type="dxa"/>
            <w:tcBorders>
              <w:top w:val="single" w:sz="4" w:space="0" w:color="auto"/>
              <w:left w:val="nil"/>
              <w:bottom w:val="nil"/>
              <w:right w:val="nil"/>
            </w:tcBorders>
          </w:tcPr>
          <w:p w14:paraId="5D73494D"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107</w:t>
            </w:r>
          </w:p>
        </w:tc>
        <w:tc>
          <w:tcPr>
            <w:tcW w:w="1718" w:type="dxa"/>
            <w:tcBorders>
              <w:top w:val="single" w:sz="4" w:space="0" w:color="auto"/>
              <w:left w:val="nil"/>
              <w:bottom w:val="nil"/>
              <w:right w:val="nil"/>
            </w:tcBorders>
          </w:tcPr>
          <w:p w14:paraId="5D73494E"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168</w:t>
            </w:r>
          </w:p>
        </w:tc>
        <w:tc>
          <w:tcPr>
            <w:tcW w:w="1432" w:type="dxa"/>
            <w:tcBorders>
              <w:top w:val="single" w:sz="4" w:space="0" w:color="auto"/>
              <w:left w:val="nil"/>
              <w:bottom w:val="nil"/>
              <w:right w:val="nil"/>
            </w:tcBorders>
          </w:tcPr>
          <w:p w14:paraId="5D73494F" w14:textId="77777777" w:rsidR="00020FAE" w:rsidRPr="00020FAE" w:rsidRDefault="00A727C2" w:rsidP="00E51250">
            <w:pPr>
              <w:keepNext/>
              <w:jc w:val="right"/>
              <w:rPr>
                <w:rFonts w:asciiTheme="minorHAnsi" w:hAnsiTheme="minorHAnsi"/>
                <w:color w:val="000000"/>
                <w:sz w:val="20"/>
                <w:szCs w:val="20"/>
              </w:rPr>
            </w:pPr>
            <w:r>
              <w:rPr>
                <w:rFonts w:asciiTheme="minorHAnsi" w:hAnsiTheme="minorHAnsi"/>
                <w:color w:val="000000"/>
                <w:sz w:val="20"/>
                <w:szCs w:val="20"/>
              </w:rPr>
              <w:t>+</w:t>
            </w:r>
            <w:r w:rsidR="00020FAE" w:rsidRPr="00020FAE">
              <w:rPr>
                <w:rFonts w:asciiTheme="minorHAnsi" w:hAnsiTheme="minorHAnsi"/>
                <w:color w:val="000000"/>
                <w:sz w:val="20"/>
                <w:szCs w:val="20"/>
              </w:rPr>
              <w:t>61</w:t>
            </w:r>
          </w:p>
        </w:tc>
        <w:tc>
          <w:tcPr>
            <w:tcW w:w="1574" w:type="dxa"/>
            <w:tcBorders>
              <w:top w:val="single" w:sz="4" w:space="0" w:color="auto"/>
              <w:left w:val="nil"/>
              <w:bottom w:val="nil"/>
              <w:right w:val="nil"/>
            </w:tcBorders>
          </w:tcPr>
          <w:p w14:paraId="5D734950"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97 - 144</w:t>
            </w:r>
          </w:p>
        </w:tc>
        <w:tc>
          <w:tcPr>
            <w:tcW w:w="1464" w:type="dxa"/>
            <w:tcBorders>
              <w:top w:val="single" w:sz="4" w:space="0" w:color="auto"/>
              <w:left w:val="nil"/>
              <w:bottom w:val="nil"/>
              <w:right w:val="nil"/>
            </w:tcBorders>
          </w:tcPr>
          <w:p w14:paraId="5D734951" w14:textId="77777777" w:rsidR="00020FAE" w:rsidRPr="00020FAE" w:rsidRDefault="00020FAE" w:rsidP="00E51250">
            <w:pPr>
              <w:keepNext/>
              <w:jc w:val="right"/>
              <w:rPr>
                <w:rFonts w:asciiTheme="minorHAnsi" w:hAnsiTheme="minorHAnsi"/>
                <w:color w:val="000000"/>
                <w:sz w:val="20"/>
                <w:szCs w:val="20"/>
              </w:rPr>
            </w:pPr>
            <w:r w:rsidRPr="00020FAE">
              <w:rPr>
                <w:rFonts w:asciiTheme="minorHAnsi" w:hAnsiTheme="minorHAnsi"/>
                <w:color w:val="000000"/>
                <w:sz w:val="20"/>
                <w:szCs w:val="20"/>
              </w:rPr>
              <w:t>158 - 206</w:t>
            </w:r>
          </w:p>
        </w:tc>
      </w:tr>
      <w:tr w:rsidR="00A727C2" w14:paraId="5D734959" w14:textId="77777777" w:rsidTr="000C25C8">
        <w:trPr>
          <w:trHeight w:val="55"/>
        </w:trPr>
        <w:tc>
          <w:tcPr>
            <w:tcW w:w="2257" w:type="dxa"/>
            <w:tcBorders>
              <w:top w:val="nil"/>
              <w:left w:val="nil"/>
              <w:bottom w:val="single" w:sz="4" w:space="0" w:color="auto"/>
              <w:right w:val="nil"/>
            </w:tcBorders>
          </w:tcPr>
          <w:p w14:paraId="5D734953" w14:textId="77777777" w:rsidR="00020FAE" w:rsidRPr="00AD785A" w:rsidRDefault="00020FAE" w:rsidP="00E51250">
            <w:pPr>
              <w:keepNext/>
              <w:rPr>
                <w:rFonts w:ascii="Arial" w:hAnsi="Arial" w:cs="Arial"/>
                <w:b/>
                <w:sz w:val="20"/>
                <w:szCs w:val="20"/>
              </w:rPr>
            </w:pPr>
            <w:r w:rsidRPr="00AD785A">
              <w:rPr>
                <w:rFonts w:ascii="Arial" w:hAnsi="Arial" w:cs="Arial"/>
                <w:b/>
                <w:sz w:val="20"/>
                <w:szCs w:val="20"/>
              </w:rPr>
              <w:t>16-44 years</w:t>
            </w:r>
            <w:r w:rsidR="000B42F4" w:rsidRPr="00AD785A">
              <w:rPr>
                <w:rFonts w:ascii="Arial" w:hAnsi="Arial" w:cs="Arial"/>
                <w:b/>
                <w:sz w:val="20"/>
                <w:szCs w:val="20"/>
              </w:rPr>
              <w:t>*</w:t>
            </w:r>
            <w:r w:rsidRPr="00AD785A">
              <w:rPr>
                <w:rFonts w:ascii="Arial" w:hAnsi="Arial" w:cs="Arial"/>
                <w:b/>
                <w:sz w:val="20"/>
                <w:szCs w:val="20"/>
              </w:rPr>
              <w:t xml:space="preserve"> (Females)</w:t>
            </w:r>
          </w:p>
        </w:tc>
        <w:tc>
          <w:tcPr>
            <w:tcW w:w="1431" w:type="dxa"/>
            <w:tcBorders>
              <w:top w:val="nil"/>
              <w:left w:val="nil"/>
              <w:bottom w:val="single" w:sz="4" w:space="0" w:color="auto"/>
              <w:right w:val="nil"/>
            </w:tcBorders>
          </w:tcPr>
          <w:p w14:paraId="5D734954" w14:textId="77777777" w:rsidR="00020FAE" w:rsidRPr="004608D0" w:rsidRDefault="00020FAE" w:rsidP="00E51250">
            <w:pPr>
              <w:keepNext/>
              <w:jc w:val="right"/>
              <w:rPr>
                <w:rFonts w:asciiTheme="minorHAnsi" w:hAnsiTheme="minorHAnsi"/>
                <w:b/>
                <w:sz w:val="20"/>
                <w:szCs w:val="20"/>
              </w:rPr>
            </w:pPr>
            <w:r w:rsidRPr="004608D0">
              <w:rPr>
                <w:rFonts w:asciiTheme="minorHAnsi" w:hAnsiTheme="minorHAnsi"/>
                <w:b/>
                <w:sz w:val="20"/>
                <w:szCs w:val="20"/>
              </w:rPr>
              <w:t>98</w:t>
            </w:r>
          </w:p>
        </w:tc>
        <w:tc>
          <w:tcPr>
            <w:tcW w:w="1718" w:type="dxa"/>
            <w:tcBorders>
              <w:top w:val="nil"/>
              <w:left w:val="nil"/>
              <w:bottom w:val="single" w:sz="4" w:space="0" w:color="auto"/>
              <w:right w:val="nil"/>
            </w:tcBorders>
          </w:tcPr>
          <w:p w14:paraId="5D734955" w14:textId="77777777" w:rsidR="00020FAE" w:rsidRPr="004608D0" w:rsidRDefault="00020FAE" w:rsidP="00E51250">
            <w:pPr>
              <w:keepNext/>
              <w:jc w:val="right"/>
              <w:rPr>
                <w:rFonts w:asciiTheme="minorHAnsi" w:hAnsiTheme="minorHAnsi"/>
                <w:b/>
                <w:sz w:val="20"/>
                <w:szCs w:val="20"/>
              </w:rPr>
            </w:pPr>
            <w:r w:rsidRPr="004608D0">
              <w:rPr>
                <w:rFonts w:asciiTheme="minorHAnsi" w:hAnsiTheme="minorHAnsi"/>
                <w:b/>
                <w:sz w:val="20"/>
                <w:szCs w:val="20"/>
              </w:rPr>
              <w:t>149</w:t>
            </w:r>
          </w:p>
        </w:tc>
        <w:tc>
          <w:tcPr>
            <w:tcW w:w="1432" w:type="dxa"/>
            <w:tcBorders>
              <w:top w:val="nil"/>
              <w:left w:val="nil"/>
              <w:bottom w:val="single" w:sz="4" w:space="0" w:color="auto"/>
              <w:right w:val="nil"/>
            </w:tcBorders>
          </w:tcPr>
          <w:p w14:paraId="5D734956" w14:textId="77777777" w:rsidR="00020FAE" w:rsidRPr="004608D0" w:rsidRDefault="00A727C2" w:rsidP="00E51250">
            <w:pPr>
              <w:keepNext/>
              <w:jc w:val="right"/>
              <w:rPr>
                <w:rFonts w:asciiTheme="minorHAnsi" w:hAnsiTheme="minorHAnsi"/>
                <w:b/>
                <w:sz w:val="20"/>
                <w:szCs w:val="20"/>
              </w:rPr>
            </w:pPr>
            <w:r w:rsidRPr="004608D0">
              <w:rPr>
                <w:rFonts w:asciiTheme="minorHAnsi" w:hAnsiTheme="minorHAnsi"/>
                <w:b/>
                <w:sz w:val="20"/>
                <w:szCs w:val="20"/>
              </w:rPr>
              <w:t>+</w:t>
            </w:r>
            <w:r w:rsidR="00020FAE" w:rsidRPr="004608D0">
              <w:rPr>
                <w:rFonts w:asciiTheme="minorHAnsi" w:hAnsiTheme="minorHAnsi"/>
                <w:b/>
                <w:sz w:val="20"/>
                <w:szCs w:val="20"/>
              </w:rPr>
              <w:t>51</w:t>
            </w:r>
          </w:p>
        </w:tc>
        <w:tc>
          <w:tcPr>
            <w:tcW w:w="1574" w:type="dxa"/>
            <w:tcBorders>
              <w:top w:val="nil"/>
              <w:left w:val="nil"/>
              <w:bottom w:val="single" w:sz="4" w:space="0" w:color="auto"/>
              <w:right w:val="nil"/>
            </w:tcBorders>
          </w:tcPr>
          <w:p w14:paraId="5D734957" w14:textId="77777777" w:rsidR="00020FAE" w:rsidRPr="004608D0" w:rsidRDefault="00020FAE" w:rsidP="00E51250">
            <w:pPr>
              <w:keepNext/>
              <w:jc w:val="right"/>
              <w:rPr>
                <w:rFonts w:asciiTheme="minorHAnsi" w:hAnsiTheme="minorHAnsi"/>
                <w:b/>
                <w:sz w:val="20"/>
                <w:szCs w:val="20"/>
              </w:rPr>
            </w:pPr>
            <w:r w:rsidRPr="004608D0">
              <w:rPr>
                <w:rFonts w:asciiTheme="minorHAnsi" w:hAnsiTheme="minorHAnsi"/>
                <w:b/>
                <w:sz w:val="20"/>
                <w:szCs w:val="20"/>
              </w:rPr>
              <w:t>89 - 133</w:t>
            </w:r>
          </w:p>
        </w:tc>
        <w:tc>
          <w:tcPr>
            <w:tcW w:w="1464" w:type="dxa"/>
            <w:tcBorders>
              <w:top w:val="nil"/>
              <w:left w:val="nil"/>
              <w:bottom w:val="single" w:sz="4" w:space="0" w:color="auto"/>
              <w:right w:val="nil"/>
            </w:tcBorders>
          </w:tcPr>
          <w:p w14:paraId="5D734958" w14:textId="77777777" w:rsidR="00020FAE" w:rsidRPr="004608D0" w:rsidRDefault="00020FAE" w:rsidP="00E51250">
            <w:pPr>
              <w:keepNext/>
              <w:jc w:val="right"/>
              <w:rPr>
                <w:rFonts w:asciiTheme="minorHAnsi" w:hAnsiTheme="minorHAnsi"/>
                <w:b/>
                <w:sz w:val="20"/>
                <w:szCs w:val="20"/>
              </w:rPr>
            </w:pPr>
            <w:r w:rsidRPr="004608D0">
              <w:rPr>
                <w:rFonts w:asciiTheme="minorHAnsi" w:hAnsiTheme="minorHAnsi"/>
                <w:b/>
                <w:sz w:val="20"/>
                <w:szCs w:val="20"/>
              </w:rPr>
              <w:t>139 - 185</w:t>
            </w:r>
          </w:p>
        </w:tc>
      </w:tr>
    </w:tbl>
    <w:p w14:paraId="5D73495A" w14:textId="77777777" w:rsidR="00DE051A" w:rsidRPr="002F491C" w:rsidRDefault="001C4453" w:rsidP="00E51250">
      <w:pPr>
        <w:keepNext/>
        <w:spacing w:after="0"/>
        <w:rPr>
          <w:rFonts w:ascii="Arial" w:hAnsi="Arial" w:cs="Arial"/>
          <w:sz w:val="18"/>
          <w:szCs w:val="18"/>
        </w:rPr>
      </w:pPr>
      <w:r>
        <w:rPr>
          <w:rFonts w:ascii="Arial" w:hAnsi="Arial" w:cs="Arial"/>
          <w:sz w:val="18"/>
          <w:szCs w:val="18"/>
        </w:rPr>
        <w:t>@</w:t>
      </w:r>
      <w:r w:rsidR="00DE051A" w:rsidRPr="002F491C">
        <w:rPr>
          <w:rFonts w:ascii="Arial" w:hAnsi="Arial" w:cs="Arial"/>
          <w:sz w:val="18"/>
          <w:szCs w:val="18"/>
        </w:rPr>
        <w:t xml:space="preserve">Weighted average of estimated </w:t>
      </w:r>
      <w:r w:rsidR="002F491C">
        <w:rPr>
          <w:rFonts w:ascii="Arial" w:hAnsi="Arial" w:cs="Arial"/>
          <w:sz w:val="18"/>
          <w:szCs w:val="18"/>
        </w:rPr>
        <w:t xml:space="preserve">post-fortification </w:t>
      </w:r>
      <w:r w:rsidR="00DE051A" w:rsidRPr="002F491C">
        <w:rPr>
          <w:rFonts w:ascii="Arial" w:hAnsi="Arial" w:cs="Arial"/>
          <w:sz w:val="18"/>
          <w:szCs w:val="18"/>
        </w:rPr>
        <w:t>mean intake of results from the three bread surveys.</w:t>
      </w:r>
    </w:p>
    <w:p w14:paraId="5D73495B" w14:textId="77777777" w:rsidR="00DE051A" w:rsidRPr="002F491C" w:rsidRDefault="001C4453" w:rsidP="00E51250">
      <w:pPr>
        <w:keepNext/>
        <w:spacing w:after="0"/>
        <w:rPr>
          <w:rFonts w:ascii="Arial" w:hAnsi="Arial" w:cs="Arial"/>
          <w:sz w:val="18"/>
          <w:szCs w:val="18"/>
        </w:rPr>
      </w:pPr>
      <w:r>
        <w:rPr>
          <w:rFonts w:ascii="Arial" w:hAnsi="Arial" w:cs="Arial"/>
          <w:sz w:val="18"/>
          <w:szCs w:val="18"/>
        </w:rPr>
        <w:t xml:space="preserve"># </w:t>
      </w:r>
      <w:proofErr w:type="gramStart"/>
      <w:r w:rsidR="00DE051A" w:rsidRPr="002F491C">
        <w:rPr>
          <w:rFonts w:ascii="Arial" w:hAnsi="Arial" w:cs="Arial"/>
          <w:sz w:val="18"/>
          <w:szCs w:val="18"/>
        </w:rPr>
        <w:t>Derived</w:t>
      </w:r>
      <w:proofErr w:type="gramEnd"/>
      <w:r w:rsidR="00DE051A" w:rsidRPr="002F491C">
        <w:rPr>
          <w:rFonts w:ascii="Arial" w:hAnsi="Arial" w:cs="Arial"/>
          <w:sz w:val="18"/>
          <w:szCs w:val="18"/>
        </w:rPr>
        <w:t xml:space="preserve"> using the 2007 Australian Children’s national Nutrition and Physical Activity Survey (includes quantified salt consumption)</w:t>
      </w:r>
      <w:r w:rsidR="008174C2">
        <w:rPr>
          <w:rFonts w:ascii="Arial" w:hAnsi="Arial" w:cs="Arial"/>
          <w:sz w:val="18"/>
          <w:szCs w:val="18"/>
        </w:rPr>
        <w:t>, 2</w:t>
      </w:r>
      <w:r w:rsidR="008174C2" w:rsidRPr="00D013B3">
        <w:rPr>
          <w:rFonts w:ascii="Arial" w:hAnsi="Arial" w:cs="Arial"/>
          <w:sz w:val="18"/>
          <w:szCs w:val="18"/>
          <w:vertAlign w:val="superscript"/>
        </w:rPr>
        <w:t>nd</w:t>
      </w:r>
      <w:r w:rsidR="008174C2">
        <w:rPr>
          <w:rFonts w:ascii="Arial" w:hAnsi="Arial" w:cs="Arial"/>
          <w:sz w:val="18"/>
          <w:szCs w:val="18"/>
        </w:rPr>
        <w:t xml:space="preserve"> day adjusted usual intake estimates.</w:t>
      </w:r>
    </w:p>
    <w:p w14:paraId="5D73495C" w14:textId="77777777" w:rsidR="00DE051A" w:rsidRPr="002F491C" w:rsidRDefault="00DE051A" w:rsidP="00E51250">
      <w:pPr>
        <w:keepNext/>
        <w:spacing w:after="0"/>
        <w:rPr>
          <w:rFonts w:ascii="Arial" w:hAnsi="Arial" w:cs="Arial"/>
          <w:sz w:val="18"/>
          <w:szCs w:val="18"/>
        </w:rPr>
      </w:pPr>
      <w:r w:rsidRPr="002F491C">
        <w:rPr>
          <w:rFonts w:ascii="Arial" w:hAnsi="Arial" w:cs="Arial"/>
          <w:sz w:val="18"/>
          <w:szCs w:val="18"/>
        </w:rPr>
        <w:t>*</w:t>
      </w:r>
      <w:r w:rsidR="001C4453">
        <w:rPr>
          <w:rFonts w:ascii="Arial" w:hAnsi="Arial" w:cs="Arial"/>
          <w:sz w:val="18"/>
          <w:szCs w:val="18"/>
        </w:rPr>
        <w:t xml:space="preserve"> </w:t>
      </w:r>
      <w:r w:rsidRPr="002F491C">
        <w:rPr>
          <w:rFonts w:ascii="Arial" w:hAnsi="Arial" w:cs="Arial"/>
          <w:sz w:val="18"/>
          <w:szCs w:val="18"/>
        </w:rPr>
        <w:t>Derived using the 1995 Australian National Nutrition Survey</w:t>
      </w:r>
      <w:r w:rsidR="008174C2">
        <w:rPr>
          <w:rFonts w:ascii="Arial" w:hAnsi="Arial" w:cs="Arial"/>
          <w:sz w:val="18"/>
          <w:szCs w:val="18"/>
        </w:rPr>
        <w:t>, 2</w:t>
      </w:r>
      <w:r w:rsidR="008174C2" w:rsidRPr="00675D65">
        <w:rPr>
          <w:rFonts w:ascii="Arial" w:hAnsi="Arial" w:cs="Arial"/>
          <w:sz w:val="18"/>
          <w:szCs w:val="18"/>
          <w:vertAlign w:val="superscript"/>
        </w:rPr>
        <w:t>nd</w:t>
      </w:r>
      <w:r w:rsidR="008174C2">
        <w:rPr>
          <w:rFonts w:ascii="Arial" w:hAnsi="Arial" w:cs="Arial"/>
          <w:sz w:val="18"/>
          <w:szCs w:val="18"/>
        </w:rPr>
        <w:t xml:space="preserve"> day adjusted usual intake estimates.</w:t>
      </w:r>
    </w:p>
    <w:p w14:paraId="5D73495D" w14:textId="77777777" w:rsidR="007614F0" w:rsidRDefault="00DE051A" w:rsidP="00E51250">
      <w:pPr>
        <w:keepNext/>
        <w:rPr>
          <w:rFonts w:ascii="Arial" w:hAnsi="Arial" w:cs="Arial"/>
          <w:sz w:val="16"/>
          <w:szCs w:val="16"/>
        </w:rPr>
      </w:pPr>
      <w:r w:rsidRPr="002F491C">
        <w:rPr>
          <w:rFonts w:ascii="Arial" w:hAnsi="Arial" w:cs="Arial"/>
          <w:sz w:val="18"/>
          <w:szCs w:val="18"/>
        </w:rPr>
        <w:t>^</w:t>
      </w:r>
      <w:r w:rsidR="002F491C" w:rsidRPr="002F491C">
        <w:rPr>
          <w:rFonts w:ascii="Arial" w:eastAsia="Calibri" w:hAnsi="Arial" w:cs="Arial"/>
          <w:sz w:val="18"/>
          <w:szCs w:val="18"/>
        </w:rPr>
        <w:t xml:space="preserve"> In the consumer behaviour model, the left-hand number in the range </w:t>
      </w:r>
      <w:r w:rsidR="002F491C">
        <w:rPr>
          <w:rFonts w:ascii="Arial" w:eastAsia="Calibri" w:hAnsi="Arial" w:cs="Arial"/>
          <w:sz w:val="18"/>
          <w:szCs w:val="18"/>
        </w:rPr>
        <w:t xml:space="preserve">values for adults </w:t>
      </w:r>
      <w:r w:rsidR="002F491C" w:rsidRPr="002F491C">
        <w:rPr>
          <w:rFonts w:ascii="Arial" w:eastAsia="Calibri" w:hAnsi="Arial" w:cs="Arial"/>
          <w:sz w:val="18"/>
          <w:szCs w:val="18"/>
        </w:rPr>
        <w:t>is for consumers who never choose iodised discretionary salt and the right-hand number in the range is for consumers who always choose iodised discretionary salt, i.e. salt with a mean iodine concentration of 45 mg iodine/kg salt.</w:t>
      </w:r>
      <w:r w:rsidR="002F491C" w:rsidRPr="002F491C">
        <w:rPr>
          <w:rFonts w:ascii="Arial" w:hAnsi="Arial" w:cs="Arial"/>
          <w:b/>
          <w:sz w:val="18"/>
          <w:szCs w:val="18"/>
        </w:rPr>
        <w:t xml:space="preserve"> </w:t>
      </w:r>
      <w:r w:rsidR="002F491C" w:rsidRPr="002F491C">
        <w:rPr>
          <w:rFonts w:ascii="Arial" w:hAnsi="Arial" w:cs="Arial"/>
          <w:sz w:val="18"/>
          <w:szCs w:val="18"/>
        </w:rPr>
        <w:t xml:space="preserve">No range in estimated inadequate iodine intakes is necessary for children aged 2-16 years since discretionary iodised salt consumers </w:t>
      </w:r>
      <w:r w:rsidR="007328D0">
        <w:rPr>
          <w:rFonts w:ascii="Arial" w:hAnsi="Arial" w:cs="Arial"/>
          <w:sz w:val="18"/>
          <w:szCs w:val="18"/>
        </w:rPr>
        <w:t>were</w:t>
      </w:r>
      <w:r w:rsidR="007328D0" w:rsidRPr="002F491C">
        <w:rPr>
          <w:rFonts w:ascii="Arial" w:hAnsi="Arial" w:cs="Arial"/>
          <w:sz w:val="18"/>
          <w:szCs w:val="18"/>
        </w:rPr>
        <w:t xml:space="preserve"> </w:t>
      </w:r>
      <w:r w:rsidR="002F491C" w:rsidRPr="002F491C">
        <w:rPr>
          <w:rFonts w:ascii="Arial" w:hAnsi="Arial" w:cs="Arial"/>
          <w:sz w:val="18"/>
          <w:szCs w:val="18"/>
        </w:rPr>
        <w:t>identified in the short questions for the 2007 ANCNAPS.</w:t>
      </w:r>
      <w:r w:rsidR="002F491C" w:rsidRPr="002F491C">
        <w:rPr>
          <w:rFonts w:ascii="Arial" w:hAnsi="Arial" w:cs="Arial"/>
          <w:sz w:val="16"/>
          <w:szCs w:val="16"/>
        </w:rPr>
        <w:t xml:space="preserve"> </w:t>
      </w:r>
    </w:p>
    <w:p w14:paraId="5D73495E" w14:textId="77777777" w:rsidR="001C4453" w:rsidRDefault="001C4453" w:rsidP="00CC5193">
      <w:pPr>
        <w:rPr>
          <w:rFonts w:ascii="Arial" w:hAnsi="Arial" w:cs="Arial"/>
          <w:sz w:val="16"/>
          <w:szCs w:val="16"/>
        </w:rPr>
      </w:pPr>
    </w:p>
    <w:p w14:paraId="5D73495F" w14:textId="77777777" w:rsidR="00AA1F32" w:rsidRPr="00280B25" w:rsidRDefault="00214DCA" w:rsidP="00CC5193">
      <w:pPr>
        <w:rPr>
          <w:rFonts w:ascii="Arial" w:hAnsi="Arial" w:cs="Arial"/>
          <w:sz w:val="16"/>
          <w:szCs w:val="16"/>
        </w:rPr>
      </w:pPr>
      <w:r w:rsidRPr="00214DCA">
        <w:rPr>
          <w:noProof/>
          <w:lang w:eastAsia="en-GB"/>
        </w:rPr>
        <w:lastRenderedPageBreak/>
        <w:drawing>
          <wp:inline distT="0" distB="0" distL="0" distR="0" wp14:anchorId="5D734D67" wp14:editId="4331F08D">
            <wp:extent cx="5897879" cy="3215640"/>
            <wp:effectExtent l="0" t="0" r="8255" b="3810"/>
            <wp:docPr id="20" name="Picture 20" title="Figure 2: Estimated mean dietary usual iodine intakes for Australian adults by age group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6580" cy="3214932"/>
                    </a:xfrm>
                    <a:prstGeom prst="rect">
                      <a:avLst/>
                    </a:prstGeom>
                    <a:noFill/>
                    <a:ln>
                      <a:noFill/>
                    </a:ln>
                  </pic:spPr>
                </pic:pic>
              </a:graphicData>
            </a:graphic>
          </wp:inline>
        </w:drawing>
      </w:r>
    </w:p>
    <w:p w14:paraId="5D734960" w14:textId="77777777" w:rsidR="00FC0097" w:rsidRPr="00FC0097" w:rsidRDefault="00FC0097" w:rsidP="00CC5193">
      <w:pPr>
        <w:pStyle w:val="Caption"/>
        <w:spacing w:after="200" w:line="276" w:lineRule="auto"/>
      </w:pPr>
      <w:bookmarkStart w:id="24" w:name="_Toc430854548"/>
      <w:r>
        <w:t xml:space="preserve">Figure </w:t>
      </w:r>
      <w:r w:rsidR="001E1660">
        <w:fldChar w:fldCharType="begin"/>
      </w:r>
      <w:r w:rsidR="001E1660">
        <w:instrText xml:space="preserve"> SEQ Figure \* ARABIC </w:instrText>
      </w:r>
      <w:r w:rsidR="001E1660">
        <w:fldChar w:fldCharType="separate"/>
      </w:r>
      <w:r w:rsidR="00A41217">
        <w:rPr>
          <w:noProof/>
        </w:rPr>
        <w:t>2</w:t>
      </w:r>
      <w:r w:rsidR="001E1660">
        <w:rPr>
          <w:noProof/>
        </w:rPr>
        <w:fldChar w:fldCharType="end"/>
      </w:r>
      <w:r>
        <w:t xml:space="preserve">: Estimated mean dietary </w:t>
      </w:r>
      <w:r w:rsidR="008B4898">
        <w:t xml:space="preserve">usual </w:t>
      </w:r>
      <w:r>
        <w:t>iodine intakes for Australian adults by age group and gender</w:t>
      </w:r>
      <w:bookmarkEnd w:id="24"/>
    </w:p>
    <w:p w14:paraId="5D734961" w14:textId="77777777" w:rsidR="00280B25" w:rsidRDefault="00280B25" w:rsidP="00CC5193">
      <w:pPr>
        <w:rPr>
          <w:rFonts w:ascii="Arial" w:hAnsi="Arial" w:cs="Arial"/>
          <w:sz w:val="22"/>
        </w:rPr>
      </w:pPr>
    </w:p>
    <w:p w14:paraId="5D734962" w14:textId="77777777" w:rsidR="001C4453" w:rsidRDefault="001C4453" w:rsidP="00CC5193">
      <w:pPr>
        <w:rPr>
          <w:rFonts w:ascii="Arial" w:hAnsi="Arial" w:cs="Arial"/>
          <w:sz w:val="22"/>
        </w:rPr>
      </w:pPr>
      <w:r w:rsidRPr="001C4453">
        <w:rPr>
          <w:noProof/>
          <w:lang w:eastAsia="en-GB"/>
        </w:rPr>
        <w:drawing>
          <wp:inline distT="0" distB="0" distL="0" distR="0" wp14:anchorId="5D734D69" wp14:editId="30D2A4B6">
            <wp:extent cx="5760720" cy="2971800"/>
            <wp:effectExtent l="0" t="0" r="0" b="0"/>
            <wp:docPr id="21" name="Picture 21" title="Figure 3: Estimated mean dietary usual iodine intakes for Australian children by age group and g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114" cy="2972519"/>
                    </a:xfrm>
                    <a:prstGeom prst="rect">
                      <a:avLst/>
                    </a:prstGeom>
                    <a:noFill/>
                    <a:ln>
                      <a:noFill/>
                    </a:ln>
                  </pic:spPr>
                </pic:pic>
              </a:graphicData>
            </a:graphic>
          </wp:inline>
        </w:drawing>
      </w:r>
    </w:p>
    <w:p w14:paraId="5D734964" w14:textId="402DEA79" w:rsidR="00D8301E" w:rsidRPr="00622A8C" w:rsidRDefault="007448AC" w:rsidP="00622A8C">
      <w:pPr>
        <w:pStyle w:val="Caption"/>
        <w:spacing w:after="200" w:line="276" w:lineRule="auto"/>
        <w:rPr>
          <w:rFonts w:cs="Arial"/>
          <w:sz w:val="20"/>
        </w:rPr>
      </w:pPr>
      <w:bookmarkStart w:id="25" w:name="_Toc430854549"/>
      <w:r>
        <w:t xml:space="preserve">Figure </w:t>
      </w:r>
      <w:r w:rsidR="001E1660">
        <w:fldChar w:fldCharType="begin"/>
      </w:r>
      <w:r w:rsidR="001E1660">
        <w:instrText xml:space="preserve"> SEQ Figure \* ARABIC </w:instrText>
      </w:r>
      <w:r w:rsidR="001E1660">
        <w:fldChar w:fldCharType="separate"/>
      </w:r>
      <w:r w:rsidR="00A41217">
        <w:rPr>
          <w:noProof/>
        </w:rPr>
        <w:t>3</w:t>
      </w:r>
      <w:r w:rsidR="001E1660">
        <w:rPr>
          <w:noProof/>
        </w:rPr>
        <w:fldChar w:fldCharType="end"/>
      </w:r>
      <w:r>
        <w:t xml:space="preserve">: Estimated mean dietary </w:t>
      </w:r>
      <w:r w:rsidR="008B4898">
        <w:t xml:space="preserve">usual </w:t>
      </w:r>
      <w:r>
        <w:t>iodine intakes for Australian children by age group and gender</w:t>
      </w:r>
      <w:bookmarkEnd w:id="25"/>
      <w:r w:rsidR="001C4453" w:rsidRPr="001C4453">
        <w:rPr>
          <w:noProof/>
          <w:sz w:val="20"/>
        </w:rPr>
        <w:t xml:space="preserve"> </w:t>
      </w:r>
    </w:p>
    <w:p w14:paraId="5D734965" w14:textId="33C9FD8F" w:rsidR="00751276" w:rsidRPr="0047625E" w:rsidRDefault="004B05C0" w:rsidP="00CC5193">
      <w:pPr>
        <w:tabs>
          <w:tab w:val="clear" w:pos="567"/>
        </w:tabs>
        <w:rPr>
          <w:rFonts w:ascii="Arial" w:hAnsi="Arial" w:cs="Arial"/>
          <w:sz w:val="22"/>
        </w:rPr>
      </w:pPr>
      <w:r w:rsidRPr="00C77DBC">
        <w:rPr>
          <w:rFonts w:ascii="Arial" w:hAnsi="Arial" w:cs="Arial"/>
          <w:sz w:val="22"/>
        </w:rPr>
        <w:t xml:space="preserve">The </w:t>
      </w:r>
      <w:r>
        <w:rPr>
          <w:rFonts w:ascii="Arial" w:hAnsi="Arial" w:cs="Arial"/>
          <w:sz w:val="22"/>
        </w:rPr>
        <w:t xml:space="preserve">estimated increase in the </w:t>
      </w:r>
      <w:r w:rsidRPr="00C77DBC">
        <w:rPr>
          <w:rFonts w:ascii="Arial" w:hAnsi="Arial" w:cs="Arial"/>
          <w:sz w:val="22"/>
        </w:rPr>
        <w:t xml:space="preserve">mean </w:t>
      </w:r>
      <w:r w:rsidR="008C13E3" w:rsidRPr="00C77DBC">
        <w:rPr>
          <w:rFonts w:ascii="Arial" w:hAnsi="Arial" w:cs="Arial"/>
          <w:sz w:val="22"/>
        </w:rPr>
        <w:t xml:space="preserve">daily </w:t>
      </w:r>
      <w:r w:rsidRPr="00C77DBC">
        <w:rPr>
          <w:rFonts w:ascii="Arial" w:hAnsi="Arial" w:cs="Arial"/>
          <w:sz w:val="22"/>
        </w:rPr>
        <w:t xml:space="preserve">iodine </w:t>
      </w:r>
      <w:r w:rsidR="00D55217">
        <w:rPr>
          <w:rFonts w:ascii="Arial" w:hAnsi="Arial" w:cs="Arial"/>
          <w:sz w:val="22"/>
        </w:rPr>
        <w:t xml:space="preserve">usual </w:t>
      </w:r>
      <w:r w:rsidRPr="00C77DBC">
        <w:rPr>
          <w:rFonts w:ascii="Arial" w:hAnsi="Arial" w:cs="Arial"/>
          <w:sz w:val="22"/>
        </w:rPr>
        <w:t xml:space="preserve">intake for </w:t>
      </w:r>
      <w:r w:rsidR="00F343F7">
        <w:rPr>
          <w:rFonts w:ascii="Arial" w:hAnsi="Arial" w:cs="Arial"/>
          <w:sz w:val="22"/>
        </w:rPr>
        <w:t>females</w:t>
      </w:r>
      <w:r w:rsidRPr="00C77DBC">
        <w:rPr>
          <w:rFonts w:ascii="Arial" w:hAnsi="Arial" w:cs="Arial"/>
          <w:sz w:val="22"/>
        </w:rPr>
        <w:t xml:space="preserve"> of child-bearing age (16-44 years) </w:t>
      </w:r>
      <w:r>
        <w:rPr>
          <w:rFonts w:ascii="Arial" w:hAnsi="Arial" w:cs="Arial"/>
          <w:sz w:val="22"/>
        </w:rPr>
        <w:t>was</w:t>
      </w:r>
      <w:r w:rsidRPr="00C77DBC">
        <w:rPr>
          <w:rFonts w:ascii="Arial" w:hAnsi="Arial" w:cs="Arial"/>
          <w:sz w:val="22"/>
        </w:rPr>
        <w:t xml:space="preserve"> </w:t>
      </w:r>
      <w:proofErr w:type="gramStart"/>
      <w:r w:rsidRPr="00C77DBC">
        <w:rPr>
          <w:rFonts w:ascii="Arial" w:hAnsi="Arial" w:cs="Arial"/>
          <w:sz w:val="22"/>
        </w:rPr>
        <w:t>5</w:t>
      </w:r>
      <w:r>
        <w:rPr>
          <w:rFonts w:ascii="Arial" w:hAnsi="Arial" w:cs="Arial"/>
          <w:sz w:val="22"/>
        </w:rPr>
        <w:t>1</w:t>
      </w:r>
      <w:r w:rsidR="00131B9F">
        <w:rPr>
          <w:rFonts w:ascii="Arial" w:hAnsi="Arial" w:cs="Arial"/>
          <w:sz w:val="22"/>
        </w:rPr>
        <w:t> </w:t>
      </w:r>
      <w:r w:rsidRPr="00C77DBC">
        <w:rPr>
          <w:rFonts w:ascii="Arial" w:hAnsi="Arial" w:cs="Arial"/>
          <w:sz w:val="22"/>
        </w:rPr>
        <w:t>µg/day</w:t>
      </w:r>
      <w:proofErr w:type="gramEnd"/>
      <w:r w:rsidRPr="00C77DBC">
        <w:rPr>
          <w:rFonts w:ascii="Arial" w:hAnsi="Arial" w:cs="Arial"/>
          <w:sz w:val="22"/>
        </w:rPr>
        <w:t xml:space="preserve"> after iodine fortification of bread</w:t>
      </w:r>
      <w:r>
        <w:rPr>
          <w:rFonts w:ascii="Arial" w:hAnsi="Arial" w:cs="Arial"/>
          <w:sz w:val="22"/>
        </w:rPr>
        <w:t>.</w:t>
      </w:r>
      <w:r w:rsidRPr="00C77DBC">
        <w:rPr>
          <w:rFonts w:ascii="Arial" w:hAnsi="Arial" w:cs="Arial"/>
          <w:sz w:val="22"/>
        </w:rPr>
        <w:t xml:space="preserve"> </w:t>
      </w:r>
      <w:r w:rsidR="00A74568">
        <w:rPr>
          <w:rFonts w:ascii="Arial" w:hAnsi="Arial" w:cs="Arial"/>
          <w:sz w:val="22"/>
        </w:rPr>
        <w:t>This represented</w:t>
      </w:r>
      <w:r>
        <w:rPr>
          <w:rFonts w:ascii="Arial" w:hAnsi="Arial" w:cs="Arial"/>
          <w:sz w:val="22"/>
        </w:rPr>
        <w:t xml:space="preserve"> a </w:t>
      </w:r>
      <w:r w:rsidRPr="00C77DBC">
        <w:rPr>
          <w:rFonts w:ascii="Arial" w:hAnsi="Arial" w:cs="Arial"/>
          <w:sz w:val="22"/>
        </w:rPr>
        <w:t>5</w:t>
      </w:r>
      <w:r w:rsidR="00595068">
        <w:rPr>
          <w:rFonts w:ascii="Arial" w:hAnsi="Arial" w:cs="Arial"/>
          <w:sz w:val="22"/>
        </w:rPr>
        <w:t>2</w:t>
      </w:r>
      <w:r w:rsidRPr="00C77DBC">
        <w:rPr>
          <w:rFonts w:ascii="Arial" w:hAnsi="Arial" w:cs="Arial"/>
          <w:sz w:val="22"/>
        </w:rPr>
        <w:t>%</w:t>
      </w:r>
      <w:r>
        <w:rPr>
          <w:rFonts w:ascii="Arial" w:hAnsi="Arial" w:cs="Arial"/>
          <w:sz w:val="22"/>
        </w:rPr>
        <w:t xml:space="preserve"> improvement </w:t>
      </w:r>
      <w:r w:rsidRPr="00C77DBC">
        <w:rPr>
          <w:rFonts w:ascii="Arial" w:hAnsi="Arial" w:cs="Arial"/>
          <w:sz w:val="22"/>
        </w:rPr>
        <w:t xml:space="preserve">over the pre-fortification intake values and </w:t>
      </w:r>
      <w:r w:rsidR="00A74568">
        <w:rPr>
          <w:rFonts w:ascii="Arial" w:hAnsi="Arial" w:cs="Arial"/>
          <w:sz w:val="22"/>
        </w:rPr>
        <w:t>matched</w:t>
      </w:r>
      <w:r>
        <w:rPr>
          <w:rFonts w:ascii="Arial" w:hAnsi="Arial" w:cs="Arial"/>
          <w:sz w:val="22"/>
        </w:rPr>
        <w:t xml:space="preserve"> the</w:t>
      </w:r>
      <w:r w:rsidRPr="00C77DBC">
        <w:rPr>
          <w:rFonts w:ascii="Arial" w:hAnsi="Arial" w:cs="Arial"/>
          <w:sz w:val="22"/>
        </w:rPr>
        <w:t xml:space="preserve"> </w:t>
      </w:r>
      <w:r>
        <w:rPr>
          <w:rFonts w:ascii="Arial" w:hAnsi="Arial" w:cs="Arial"/>
          <w:sz w:val="22"/>
        </w:rPr>
        <w:t xml:space="preserve">increase </w:t>
      </w:r>
      <w:r w:rsidRPr="00C77DBC">
        <w:rPr>
          <w:rFonts w:ascii="Arial" w:hAnsi="Arial" w:cs="Arial"/>
          <w:sz w:val="22"/>
        </w:rPr>
        <w:t>projected</w:t>
      </w:r>
      <w:r>
        <w:rPr>
          <w:rFonts w:ascii="Arial" w:hAnsi="Arial" w:cs="Arial"/>
          <w:sz w:val="22"/>
        </w:rPr>
        <w:t xml:space="preserve"> during the </w:t>
      </w:r>
      <w:r w:rsidRPr="00C77DBC">
        <w:rPr>
          <w:rFonts w:ascii="Arial" w:hAnsi="Arial" w:cs="Arial"/>
          <w:sz w:val="22"/>
        </w:rPr>
        <w:t xml:space="preserve">standard </w:t>
      </w:r>
      <w:r>
        <w:rPr>
          <w:rFonts w:ascii="Arial" w:hAnsi="Arial" w:cs="Arial"/>
          <w:sz w:val="22"/>
        </w:rPr>
        <w:t>development</w:t>
      </w:r>
      <w:r w:rsidR="00391761">
        <w:rPr>
          <w:rFonts w:ascii="Arial" w:hAnsi="Arial" w:cs="Arial"/>
          <w:sz w:val="22"/>
        </w:rPr>
        <w:t xml:space="preserve"> (</w:t>
      </w:r>
      <w:r w:rsidR="0095134B" w:rsidRPr="00742ABC">
        <w:rPr>
          <w:rFonts w:ascii="Arial" w:hAnsi="Arial" w:cs="Arial"/>
          <w:sz w:val="22"/>
        </w:rPr>
        <w:t>FSANZ 2008</w:t>
      </w:r>
      <w:r w:rsidR="00391761">
        <w:rPr>
          <w:rFonts w:ascii="Arial" w:hAnsi="Arial" w:cs="Arial"/>
          <w:sz w:val="22"/>
        </w:rPr>
        <w:t>)</w:t>
      </w:r>
      <w:r w:rsidRPr="00C77DBC">
        <w:rPr>
          <w:rFonts w:ascii="Arial" w:hAnsi="Arial" w:cs="Arial"/>
          <w:sz w:val="22"/>
        </w:rPr>
        <w:t xml:space="preserve">. </w:t>
      </w:r>
      <w:r>
        <w:rPr>
          <w:rFonts w:ascii="Arial" w:hAnsi="Arial" w:cs="Arial"/>
          <w:sz w:val="22"/>
        </w:rPr>
        <w:t>For adults, the two models use</w:t>
      </w:r>
      <w:r w:rsidR="00A74568">
        <w:rPr>
          <w:rFonts w:ascii="Arial" w:hAnsi="Arial" w:cs="Arial"/>
          <w:sz w:val="22"/>
        </w:rPr>
        <w:t>d in assessing dietary intake ga</w:t>
      </w:r>
      <w:r>
        <w:rPr>
          <w:rFonts w:ascii="Arial" w:hAnsi="Arial" w:cs="Arial"/>
          <w:sz w:val="22"/>
        </w:rPr>
        <w:t>ve results that are expressed differently. Although t</w:t>
      </w:r>
      <w:r w:rsidRPr="00C77DBC">
        <w:rPr>
          <w:rFonts w:ascii="Arial" w:hAnsi="Arial" w:cs="Arial"/>
          <w:sz w:val="22"/>
        </w:rPr>
        <w:t xml:space="preserve">he consumer </w:t>
      </w:r>
      <w:r w:rsidRPr="00C77DBC">
        <w:rPr>
          <w:rFonts w:ascii="Arial" w:hAnsi="Arial" w:cs="Arial"/>
          <w:sz w:val="22"/>
        </w:rPr>
        <w:lastRenderedPageBreak/>
        <w:t>behaviour model</w:t>
      </w:r>
      <w:r w:rsidR="00A74568">
        <w:rPr>
          <w:rFonts w:ascii="Arial" w:hAnsi="Arial" w:cs="Arial"/>
          <w:sz w:val="22"/>
        </w:rPr>
        <w:t xml:space="preserve"> provided range values, they</w:t>
      </w:r>
      <w:r>
        <w:rPr>
          <w:rFonts w:ascii="Arial" w:hAnsi="Arial" w:cs="Arial"/>
          <w:sz w:val="22"/>
        </w:rPr>
        <w:t xml:space="preserve"> average to increases in iodine intake that are similar to those given by the market weighted model</w:t>
      </w:r>
      <w:r w:rsidRPr="003F36B6">
        <w:rPr>
          <w:rFonts w:ascii="Arial" w:hAnsi="Arial" w:cs="Arial"/>
          <w:sz w:val="22"/>
        </w:rPr>
        <w:t xml:space="preserve"> </w:t>
      </w:r>
      <w:r>
        <w:rPr>
          <w:rFonts w:ascii="Arial" w:hAnsi="Arial" w:cs="Arial"/>
          <w:sz w:val="22"/>
        </w:rPr>
        <w:t>for the different age groups</w:t>
      </w:r>
      <w:r w:rsidR="00A74568">
        <w:rPr>
          <w:rFonts w:ascii="Arial" w:hAnsi="Arial" w:cs="Arial"/>
          <w:sz w:val="22"/>
        </w:rPr>
        <w:t>,</w:t>
      </w:r>
      <w:r>
        <w:rPr>
          <w:rFonts w:ascii="Arial" w:hAnsi="Arial" w:cs="Arial"/>
          <w:sz w:val="22"/>
        </w:rPr>
        <w:t xml:space="preserve"> including </w:t>
      </w:r>
      <w:r w:rsidR="00F343F7">
        <w:rPr>
          <w:rFonts w:ascii="Arial" w:hAnsi="Arial" w:cs="Arial"/>
          <w:sz w:val="22"/>
        </w:rPr>
        <w:t>females</w:t>
      </w:r>
      <w:r>
        <w:rPr>
          <w:rFonts w:ascii="Arial" w:hAnsi="Arial" w:cs="Arial"/>
          <w:sz w:val="22"/>
        </w:rPr>
        <w:t xml:space="preserve"> of child-bearing age. </w:t>
      </w:r>
      <w:r w:rsidRPr="00C77DBC">
        <w:rPr>
          <w:rFonts w:ascii="Arial" w:hAnsi="Arial" w:cs="Arial"/>
          <w:sz w:val="22"/>
        </w:rPr>
        <w:t>The range values reflect</w:t>
      </w:r>
      <w:r w:rsidR="00A74568">
        <w:rPr>
          <w:rFonts w:ascii="Arial" w:hAnsi="Arial" w:cs="Arial"/>
          <w:sz w:val="22"/>
        </w:rPr>
        <w:t>ed</w:t>
      </w:r>
      <w:r w:rsidRPr="00C77DBC">
        <w:rPr>
          <w:rFonts w:ascii="Arial" w:hAnsi="Arial" w:cs="Arial"/>
          <w:sz w:val="22"/>
        </w:rPr>
        <w:t xml:space="preserve"> the mean intake of those </w:t>
      </w:r>
      <w:r>
        <w:rPr>
          <w:rFonts w:ascii="Arial" w:hAnsi="Arial" w:cs="Arial"/>
          <w:sz w:val="22"/>
        </w:rPr>
        <w:t xml:space="preserve">consumers </w:t>
      </w:r>
      <w:r w:rsidR="00A74568">
        <w:rPr>
          <w:rFonts w:ascii="Arial" w:hAnsi="Arial" w:cs="Arial"/>
          <w:sz w:val="22"/>
        </w:rPr>
        <w:t>who never cho</w:t>
      </w:r>
      <w:r w:rsidRPr="00C77DBC">
        <w:rPr>
          <w:rFonts w:ascii="Arial" w:hAnsi="Arial" w:cs="Arial"/>
          <w:sz w:val="22"/>
        </w:rPr>
        <w:t>se iodised discretionary salt (lower end) and consumers who a</w:t>
      </w:r>
      <w:r w:rsidR="00A74568">
        <w:rPr>
          <w:rFonts w:ascii="Arial" w:hAnsi="Arial" w:cs="Arial"/>
          <w:sz w:val="22"/>
        </w:rPr>
        <w:t>lways cho</w:t>
      </w:r>
      <w:r w:rsidRPr="00C77DBC">
        <w:rPr>
          <w:rFonts w:ascii="Arial" w:hAnsi="Arial" w:cs="Arial"/>
          <w:sz w:val="22"/>
        </w:rPr>
        <w:t>se iodised discretionary salt (upper end).</w:t>
      </w:r>
    </w:p>
    <w:p w14:paraId="5D734966" w14:textId="4A02C08A" w:rsidR="00256223" w:rsidRDefault="00DC0A52" w:rsidP="00DC0A52">
      <w:pPr>
        <w:pStyle w:val="Caption"/>
      </w:pPr>
      <w:bookmarkStart w:id="26" w:name="_Toc430856500"/>
      <w:r>
        <w:t xml:space="preserve">Table </w:t>
      </w:r>
      <w:r w:rsidR="001E1660">
        <w:fldChar w:fldCharType="begin"/>
      </w:r>
      <w:r w:rsidR="001E1660">
        <w:instrText xml:space="preserve"> SEQ Table \* ARABIC </w:instrText>
      </w:r>
      <w:r w:rsidR="001E1660">
        <w:fldChar w:fldCharType="separate"/>
      </w:r>
      <w:r w:rsidR="00A41217">
        <w:rPr>
          <w:noProof/>
        </w:rPr>
        <w:t>4</w:t>
      </w:r>
      <w:r w:rsidR="001E1660">
        <w:rPr>
          <w:noProof/>
        </w:rPr>
        <w:fldChar w:fldCharType="end"/>
      </w:r>
      <w:r>
        <w:t>: Percent increases in estimated mean usual dietary iodine intake of Australians by age group and gender</w:t>
      </w:r>
      <w:bookmarkEnd w:id="26"/>
      <w:r>
        <w:t xml:space="preserve"> </w:t>
      </w:r>
    </w:p>
    <w:p w14:paraId="66A14306" w14:textId="77777777" w:rsidR="00DC0A52" w:rsidRPr="00DC0A52" w:rsidRDefault="00DC0A52" w:rsidP="00DC0A52">
      <w:pPr>
        <w:spacing w:after="0" w:line="240" w:lineRule="auto"/>
        <w:rPr>
          <w:lang w:val="en-AU" w:eastAsia="en-AU"/>
        </w:rPr>
      </w:pPr>
    </w:p>
    <w:tbl>
      <w:tblPr>
        <w:tblStyle w:val="LightShading"/>
        <w:tblW w:w="9793" w:type="dxa"/>
        <w:tblLook w:val="06A0" w:firstRow="1" w:lastRow="0" w:firstColumn="1" w:lastColumn="0" w:noHBand="1" w:noVBand="1"/>
        <w:tblCaption w:val="Table 4: Percent increases in estimated mean usual dietary iodine intake of Australians by age group and gender "/>
      </w:tblPr>
      <w:tblGrid>
        <w:gridCol w:w="2093"/>
        <w:gridCol w:w="2803"/>
        <w:gridCol w:w="2448"/>
        <w:gridCol w:w="2449"/>
      </w:tblGrid>
      <w:tr w:rsidR="00B803EC" w:rsidRPr="00DD7D43" w14:paraId="5D73496A" w14:textId="77777777" w:rsidTr="006059FC">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2093" w:type="dxa"/>
            <w:vMerge w:val="restart"/>
            <w:tcBorders>
              <w:bottom w:val="single" w:sz="4" w:space="0" w:color="auto"/>
            </w:tcBorders>
          </w:tcPr>
          <w:p w14:paraId="5D734967" w14:textId="77777777" w:rsidR="00B803EC" w:rsidRPr="00DD7D43" w:rsidRDefault="00B803EC" w:rsidP="00CC5193">
            <w:pPr>
              <w:rPr>
                <w:rFonts w:ascii="Arial" w:hAnsi="Arial" w:cs="Arial"/>
                <w:b w:val="0"/>
                <w:sz w:val="20"/>
                <w:szCs w:val="20"/>
              </w:rPr>
            </w:pPr>
          </w:p>
          <w:p w14:paraId="5D734968" w14:textId="77777777" w:rsidR="00B803EC" w:rsidRPr="00672CBD" w:rsidRDefault="00B803EC" w:rsidP="00CC5193">
            <w:pPr>
              <w:rPr>
                <w:rFonts w:ascii="Arial" w:hAnsi="Arial" w:cs="Arial"/>
                <w:sz w:val="20"/>
                <w:szCs w:val="20"/>
              </w:rPr>
            </w:pPr>
            <w:r w:rsidRPr="00672CBD">
              <w:rPr>
                <w:rFonts w:ascii="Arial" w:hAnsi="Arial" w:cs="Arial"/>
                <w:sz w:val="20"/>
                <w:szCs w:val="20"/>
              </w:rPr>
              <w:t xml:space="preserve">Age group </w:t>
            </w:r>
          </w:p>
        </w:tc>
        <w:tc>
          <w:tcPr>
            <w:tcW w:w="7700" w:type="dxa"/>
            <w:gridSpan w:val="3"/>
            <w:tcBorders>
              <w:bottom w:val="single" w:sz="4" w:space="0" w:color="auto"/>
            </w:tcBorders>
          </w:tcPr>
          <w:p w14:paraId="5D734969" w14:textId="77777777" w:rsidR="00B803EC" w:rsidRPr="00292818" w:rsidRDefault="00B803EC" w:rsidP="008B4898">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92818">
              <w:rPr>
                <w:rFonts w:ascii="Arial" w:hAnsi="Arial" w:cs="Arial"/>
                <w:color w:val="000000"/>
                <w:sz w:val="20"/>
                <w:szCs w:val="20"/>
              </w:rPr>
              <w:t xml:space="preserve">Increase in estimated </w:t>
            </w:r>
            <w:r w:rsidR="008B4898" w:rsidRPr="00292818">
              <w:rPr>
                <w:rFonts w:ascii="Arial" w:hAnsi="Arial" w:cs="Arial"/>
                <w:color w:val="000000"/>
                <w:sz w:val="20"/>
                <w:szCs w:val="20"/>
              </w:rPr>
              <w:t>mean</w:t>
            </w:r>
            <w:r w:rsidR="008B4898">
              <w:rPr>
                <w:rFonts w:ascii="Arial" w:hAnsi="Arial" w:cs="Arial"/>
                <w:color w:val="000000"/>
                <w:sz w:val="20"/>
                <w:szCs w:val="20"/>
              </w:rPr>
              <w:t xml:space="preserve"> usual </w:t>
            </w:r>
            <w:r w:rsidRPr="00292818">
              <w:rPr>
                <w:rFonts w:ascii="Arial" w:hAnsi="Arial" w:cs="Arial"/>
                <w:color w:val="000000"/>
                <w:sz w:val="20"/>
                <w:szCs w:val="20"/>
              </w:rPr>
              <w:t>iodine intake over pre-fortification intake level (%)</w:t>
            </w:r>
          </w:p>
        </w:tc>
      </w:tr>
      <w:tr w:rsidR="00B803EC" w:rsidRPr="00DD7D43" w14:paraId="5D73496F" w14:textId="77777777" w:rsidTr="006059FC">
        <w:trPr>
          <w:cnfStyle w:val="100000000000" w:firstRow="1" w:lastRow="0" w:firstColumn="0" w:lastColumn="0" w:oddVBand="0" w:evenVBand="0" w:oddHBand="0" w:evenHBand="0" w:firstRowFirstColumn="0" w:firstRowLastColumn="0" w:lastRowFirstColumn="0" w:lastRowLastColumn="0"/>
          <w:trHeight w:val="181"/>
          <w:tblHeader/>
        </w:trPr>
        <w:tc>
          <w:tcPr>
            <w:cnfStyle w:val="001000000000" w:firstRow="0" w:lastRow="0" w:firstColumn="1" w:lastColumn="0" w:oddVBand="0" w:evenVBand="0" w:oddHBand="0" w:evenHBand="0" w:firstRowFirstColumn="0" w:firstRowLastColumn="0" w:lastRowFirstColumn="0" w:lastRowLastColumn="0"/>
            <w:tcW w:w="2093" w:type="dxa"/>
            <w:vMerge/>
            <w:tcBorders>
              <w:bottom w:val="single" w:sz="4" w:space="0" w:color="auto"/>
            </w:tcBorders>
          </w:tcPr>
          <w:p w14:paraId="5D73496B" w14:textId="77777777" w:rsidR="00B803EC" w:rsidRPr="00DD7D43" w:rsidRDefault="00B803EC" w:rsidP="00CC5193">
            <w:pPr>
              <w:rPr>
                <w:rFonts w:ascii="Arial" w:hAnsi="Arial" w:cs="Arial"/>
                <w:b w:val="0"/>
                <w:sz w:val="20"/>
                <w:szCs w:val="20"/>
              </w:rPr>
            </w:pPr>
          </w:p>
        </w:tc>
        <w:tc>
          <w:tcPr>
            <w:tcW w:w="2803" w:type="dxa"/>
            <w:tcBorders>
              <w:top w:val="single" w:sz="4" w:space="0" w:color="auto"/>
              <w:bottom w:val="single" w:sz="4" w:space="0" w:color="auto"/>
            </w:tcBorders>
          </w:tcPr>
          <w:p w14:paraId="5D73496C" w14:textId="77777777" w:rsidR="00B803EC" w:rsidRPr="00DD7D43" w:rsidRDefault="00B803EC"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DD7D43">
              <w:rPr>
                <w:rFonts w:ascii="Arial" w:hAnsi="Arial" w:cs="Arial"/>
                <w:color w:val="000000"/>
                <w:sz w:val="20"/>
                <w:szCs w:val="20"/>
              </w:rPr>
              <w:t>Both sexes</w:t>
            </w:r>
          </w:p>
        </w:tc>
        <w:tc>
          <w:tcPr>
            <w:tcW w:w="2448" w:type="dxa"/>
            <w:tcBorders>
              <w:top w:val="single" w:sz="4" w:space="0" w:color="auto"/>
              <w:bottom w:val="single" w:sz="4" w:space="0" w:color="auto"/>
            </w:tcBorders>
          </w:tcPr>
          <w:p w14:paraId="5D73496D" w14:textId="77777777" w:rsidR="00B803EC" w:rsidRPr="00DD7D43" w:rsidRDefault="00B803EC"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DD7D43">
              <w:rPr>
                <w:rFonts w:ascii="Arial" w:hAnsi="Arial" w:cs="Arial"/>
                <w:color w:val="000000"/>
                <w:sz w:val="20"/>
                <w:szCs w:val="20"/>
              </w:rPr>
              <w:t>Males</w:t>
            </w:r>
          </w:p>
        </w:tc>
        <w:tc>
          <w:tcPr>
            <w:tcW w:w="2449" w:type="dxa"/>
            <w:tcBorders>
              <w:top w:val="single" w:sz="4" w:space="0" w:color="auto"/>
              <w:bottom w:val="single" w:sz="4" w:space="0" w:color="auto"/>
            </w:tcBorders>
          </w:tcPr>
          <w:p w14:paraId="5D73496E" w14:textId="77777777" w:rsidR="00B803EC" w:rsidRPr="00DD7D43" w:rsidRDefault="00B803EC" w:rsidP="00CC51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DD7D43">
              <w:rPr>
                <w:rFonts w:ascii="Arial" w:hAnsi="Arial" w:cs="Arial"/>
                <w:color w:val="000000"/>
                <w:sz w:val="20"/>
                <w:szCs w:val="20"/>
              </w:rPr>
              <w:t>Females</w:t>
            </w:r>
          </w:p>
        </w:tc>
      </w:tr>
      <w:tr w:rsidR="00B803EC" w:rsidRPr="00DD7D43" w14:paraId="5D734974" w14:textId="77777777" w:rsidTr="00672CBD">
        <w:trPr>
          <w:trHeight w:val="5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tcPr>
          <w:p w14:paraId="5D734970" w14:textId="77777777" w:rsidR="00B803EC" w:rsidRPr="00DD7D43" w:rsidRDefault="00B803EC" w:rsidP="00CC5193">
            <w:pPr>
              <w:rPr>
                <w:rFonts w:ascii="Arial" w:hAnsi="Arial" w:cs="Arial"/>
                <w:sz w:val="20"/>
                <w:szCs w:val="20"/>
              </w:rPr>
            </w:pPr>
            <w:r w:rsidRPr="00DD7D43">
              <w:rPr>
                <w:rFonts w:ascii="Arial" w:hAnsi="Arial" w:cs="Arial"/>
                <w:sz w:val="20"/>
                <w:szCs w:val="20"/>
              </w:rPr>
              <w:t>2-3 years</w:t>
            </w:r>
            <w:r w:rsidRPr="00DD7D43">
              <w:rPr>
                <w:rFonts w:ascii="Arial" w:hAnsi="Arial" w:cs="Arial"/>
                <w:sz w:val="20"/>
                <w:szCs w:val="20"/>
                <w:vertAlign w:val="superscript"/>
              </w:rPr>
              <w:t>#</w:t>
            </w:r>
          </w:p>
        </w:tc>
        <w:tc>
          <w:tcPr>
            <w:tcW w:w="2803" w:type="dxa"/>
            <w:tcBorders>
              <w:top w:val="single" w:sz="4" w:space="0" w:color="auto"/>
            </w:tcBorders>
          </w:tcPr>
          <w:p w14:paraId="5D734971"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29</w:t>
            </w:r>
          </w:p>
        </w:tc>
        <w:tc>
          <w:tcPr>
            <w:tcW w:w="2448" w:type="dxa"/>
            <w:tcBorders>
              <w:top w:val="single" w:sz="4" w:space="0" w:color="auto"/>
            </w:tcBorders>
          </w:tcPr>
          <w:p w14:paraId="5D734972"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31</w:t>
            </w:r>
          </w:p>
        </w:tc>
        <w:tc>
          <w:tcPr>
            <w:tcW w:w="2449" w:type="dxa"/>
            <w:tcBorders>
              <w:top w:val="single" w:sz="4" w:space="0" w:color="auto"/>
            </w:tcBorders>
          </w:tcPr>
          <w:p w14:paraId="5D734973"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28</w:t>
            </w:r>
          </w:p>
        </w:tc>
      </w:tr>
      <w:tr w:rsidR="00B803EC" w:rsidRPr="00DD7D43" w14:paraId="5D734979"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75" w14:textId="77777777" w:rsidR="00B803EC" w:rsidRPr="00DD7D43" w:rsidRDefault="00B803EC" w:rsidP="00CC5193">
            <w:pPr>
              <w:rPr>
                <w:rFonts w:ascii="Arial" w:hAnsi="Arial" w:cs="Arial"/>
                <w:sz w:val="20"/>
                <w:szCs w:val="20"/>
              </w:rPr>
            </w:pPr>
            <w:r w:rsidRPr="00DD7D43">
              <w:rPr>
                <w:rFonts w:ascii="Arial" w:hAnsi="Arial" w:cs="Arial"/>
                <w:sz w:val="20"/>
                <w:szCs w:val="20"/>
              </w:rPr>
              <w:t>4-8 years</w:t>
            </w:r>
            <w:r w:rsidRPr="00DD7D43">
              <w:rPr>
                <w:rFonts w:ascii="Arial" w:hAnsi="Arial" w:cs="Arial"/>
                <w:sz w:val="20"/>
                <w:szCs w:val="20"/>
                <w:vertAlign w:val="superscript"/>
              </w:rPr>
              <w:t>#</w:t>
            </w:r>
          </w:p>
        </w:tc>
        <w:tc>
          <w:tcPr>
            <w:tcW w:w="2803" w:type="dxa"/>
          </w:tcPr>
          <w:p w14:paraId="5D734976"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42</w:t>
            </w:r>
          </w:p>
        </w:tc>
        <w:tc>
          <w:tcPr>
            <w:tcW w:w="2448" w:type="dxa"/>
          </w:tcPr>
          <w:p w14:paraId="5D734977"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42</w:t>
            </w:r>
          </w:p>
        </w:tc>
        <w:tc>
          <w:tcPr>
            <w:tcW w:w="2449" w:type="dxa"/>
          </w:tcPr>
          <w:p w14:paraId="5D734978"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41</w:t>
            </w:r>
          </w:p>
        </w:tc>
      </w:tr>
      <w:tr w:rsidR="00B803EC" w:rsidRPr="00DD7D43" w14:paraId="5D73497E"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7A" w14:textId="77777777" w:rsidR="00B803EC" w:rsidRPr="00DD7D43" w:rsidRDefault="00B803EC" w:rsidP="00CC5193">
            <w:pPr>
              <w:rPr>
                <w:rFonts w:ascii="Arial" w:hAnsi="Arial" w:cs="Arial"/>
                <w:sz w:val="20"/>
                <w:szCs w:val="20"/>
              </w:rPr>
            </w:pPr>
            <w:r w:rsidRPr="00DD7D43">
              <w:rPr>
                <w:rFonts w:ascii="Arial" w:hAnsi="Arial" w:cs="Arial"/>
                <w:sz w:val="20"/>
                <w:szCs w:val="20"/>
              </w:rPr>
              <w:t>9-13 years</w:t>
            </w:r>
            <w:r w:rsidRPr="00DD7D43">
              <w:rPr>
                <w:rFonts w:ascii="Arial" w:hAnsi="Arial" w:cs="Arial"/>
                <w:sz w:val="20"/>
                <w:szCs w:val="20"/>
                <w:vertAlign w:val="superscript"/>
              </w:rPr>
              <w:t>#</w:t>
            </w:r>
          </w:p>
        </w:tc>
        <w:tc>
          <w:tcPr>
            <w:tcW w:w="2803" w:type="dxa"/>
          </w:tcPr>
          <w:p w14:paraId="5D73497B"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39</w:t>
            </w:r>
          </w:p>
        </w:tc>
        <w:tc>
          <w:tcPr>
            <w:tcW w:w="2448" w:type="dxa"/>
          </w:tcPr>
          <w:p w14:paraId="5D73497C"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38</w:t>
            </w:r>
          </w:p>
        </w:tc>
        <w:tc>
          <w:tcPr>
            <w:tcW w:w="2449" w:type="dxa"/>
          </w:tcPr>
          <w:p w14:paraId="5D73497D"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40</w:t>
            </w:r>
          </w:p>
        </w:tc>
      </w:tr>
      <w:tr w:rsidR="00B803EC" w:rsidRPr="00DD7D43" w14:paraId="5D734983"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7F" w14:textId="77777777" w:rsidR="00B803EC" w:rsidRPr="00DD7D43" w:rsidRDefault="00B803EC" w:rsidP="00CC5193">
            <w:pPr>
              <w:rPr>
                <w:rFonts w:ascii="Arial" w:hAnsi="Arial" w:cs="Arial"/>
                <w:sz w:val="20"/>
                <w:szCs w:val="20"/>
              </w:rPr>
            </w:pPr>
            <w:r w:rsidRPr="00DD7D43">
              <w:rPr>
                <w:rFonts w:ascii="Arial" w:hAnsi="Arial" w:cs="Arial"/>
                <w:sz w:val="20"/>
                <w:szCs w:val="20"/>
              </w:rPr>
              <w:t>14-16 years</w:t>
            </w:r>
            <w:r w:rsidRPr="00DD7D43">
              <w:rPr>
                <w:rFonts w:ascii="Arial" w:hAnsi="Arial" w:cs="Arial"/>
                <w:sz w:val="20"/>
                <w:szCs w:val="20"/>
                <w:vertAlign w:val="superscript"/>
              </w:rPr>
              <w:t>#</w:t>
            </w:r>
          </w:p>
        </w:tc>
        <w:tc>
          <w:tcPr>
            <w:tcW w:w="2803" w:type="dxa"/>
          </w:tcPr>
          <w:p w14:paraId="5D734980"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40</w:t>
            </w:r>
          </w:p>
        </w:tc>
        <w:tc>
          <w:tcPr>
            <w:tcW w:w="2448" w:type="dxa"/>
          </w:tcPr>
          <w:p w14:paraId="5D734981"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40</w:t>
            </w:r>
          </w:p>
        </w:tc>
        <w:tc>
          <w:tcPr>
            <w:tcW w:w="2449" w:type="dxa"/>
          </w:tcPr>
          <w:p w14:paraId="5D734982"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41</w:t>
            </w:r>
          </w:p>
        </w:tc>
      </w:tr>
      <w:tr w:rsidR="00B803EC" w:rsidRPr="00DD7D43" w14:paraId="5D734988"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84" w14:textId="77777777" w:rsidR="00B803EC" w:rsidRPr="00DD7D43" w:rsidRDefault="00B803EC" w:rsidP="00CC5193">
            <w:pPr>
              <w:rPr>
                <w:rFonts w:ascii="Arial" w:hAnsi="Arial" w:cs="Arial"/>
                <w:sz w:val="20"/>
                <w:szCs w:val="20"/>
              </w:rPr>
            </w:pPr>
            <w:r w:rsidRPr="00DD7D43">
              <w:rPr>
                <w:rFonts w:ascii="Arial" w:hAnsi="Arial" w:cs="Arial"/>
                <w:sz w:val="20"/>
                <w:szCs w:val="20"/>
              </w:rPr>
              <w:t>2-16 years</w:t>
            </w:r>
            <w:r w:rsidRPr="00DD7D43">
              <w:rPr>
                <w:rFonts w:ascii="Arial" w:hAnsi="Arial" w:cs="Arial"/>
                <w:sz w:val="20"/>
                <w:szCs w:val="20"/>
                <w:vertAlign w:val="superscript"/>
              </w:rPr>
              <w:t>#</w:t>
            </w:r>
          </w:p>
        </w:tc>
        <w:tc>
          <w:tcPr>
            <w:tcW w:w="2803" w:type="dxa"/>
          </w:tcPr>
          <w:p w14:paraId="5D734985"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39</w:t>
            </w:r>
          </w:p>
        </w:tc>
        <w:tc>
          <w:tcPr>
            <w:tcW w:w="2448" w:type="dxa"/>
          </w:tcPr>
          <w:p w14:paraId="5D734986"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39</w:t>
            </w:r>
          </w:p>
        </w:tc>
        <w:tc>
          <w:tcPr>
            <w:tcW w:w="2449" w:type="dxa"/>
          </w:tcPr>
          <w:p w14:paraId="5D734987"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39</w:t>
            </w:r>
          </w:p>
        </w:tc>
      </w:tr>
      <w:tr w:rsidR="00B803EC" w:rsidRPr="00DD7D43" w14:paraId="5D73498D"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89" w14:textId="77777777" w:rsidR="00B803EC" w:rsidRPr="00DD7D43" w:rsidRDefault="00B803EC" w:rsidP="00CC5193">
            <w:pPr>
              <w:rPr>
                <w:rFonts w:ascii="Arial" w:hAnsi="Arial" w:cs="Arial"/>
                <w:sz w:val="20"/>
                <w:szCs w:val="20"/>
              </w:rPr>
            </w:pPr>
            <w:r w:rsidRPr="00DD7D43">
              <w:rPr>
                <w:rFonts w:ascii="Arial" w:hAnsi="Arial" w:cs="Arial"/>
                <w:sz w:val="20"/>
                <w:szCs w:val="20"/>
              </w:rPr>
              <w:t>17-18 years*</w:t>
            </w:r>
          </w:p>
        </w:tc>
        <w:tc>
          <w:tcPr>
            <w:tcW w:w="2803" w:type="dxa"/>
          </w:tcPr>
          <w:p w14:paraId="5D73498A"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53</w:t>
            </w:r>
          </w:p>
        </w:tc>
        <w:tc>
          <w:tcPr>
            <w:tcW w:w="2448" w:type="dxa"/>
          </w:tcPr>
          <w:p w14:paraId="5D73498B"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52</w:t>
            </w:r>
          </w:p>
        </w:tc>
        <w:tc>
          <w:tcPr>
            <w:tcW w:w="2449" w:type="dxa"/>
          </w:tcPr>
          <w:p w14:paraId="5D73498C"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56</w:t>
            </w:r>
          </w:p>
        </w:tc>
      </w:tr>
      <w:tr w:rsidR="00B803EC" w:rsidRPr="00DD7D43" w14:paraId="5D734992"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8E" w14:textId="77777777" w:rsidR="00B803EC" w:rsidRPr="00DD7D43" w:rsidRDefault="00B803EC" w:rsidP="00CC5193">
            <w:pPr>
              <w:rPr>
                <w:rFonts w:ascii="Arial" w:hAnsi="Arial" w:cs="Arial"/>
                <w:sz w:val="20"/>
                <w:szCs w:val="20"/>
              </w:rPr>
            </w:pPr>
            <w:r w:rsidRPr="00DD7D43">
              <w:rPr>
                <w:rFonts w:ascii="Arial" w:hAnsi="Arial" w:cs="Arial"/>
                <w:sz w:val="20"/>
                <w:szCs w:val="20"/>
              </w:rPr>
              <w:t>19-29 years*</w:t>
            </w:r>
          </w:p>
        </w:tc>
        <w:tc>
          <w:tcPr>
            <w:tcW w:w="2803" w:type="dxa"/>
          </w:tcPr>
          <w:p w14:paraId="5D73498F"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55</w:t>
            </w:r>
          </w:p>
        </w:tc>
        <w:tc>
          <w:tcPr>
            <w:tcW w:w="2448" w:type="dxa"/>
          </w:tcPr>
          <w:p w14:paraId="5D734990"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59</w:t>
            </w:r>
          </w:p>
        </w:tc>
        <w:tc>
          <w:tcPr>
            <w:tcW w:w="2449" w:type="dxa"/>
          </w:tcPr>
          <w:p w14:paraId="5D734991"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51</w:t>
            </w:r>
          </w:p>
        </w:tc>
      </w:tr>
      <w:tr w:rsidR="00B803EC" w:rsidRPr="00DD7D43" w14:paraId="5D734997"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93" w14:textId="77777777" w:rsidR="00B803EC" w:rsidRPr="00DD7D43" w:rsidRDefault="00B803EC" w:rsidP="00CC5193">
            <w:pPr>
              <w:rPr>
                <w:rFonts w:ascii="Arial" w:hAnsi="Arial" w:cs="Arial"/>
                <w:sz w:val="20"/>
                <w:szCs w:val="20"/>
              </w:rPr>
            </w:pPr>
            <w:r w:rsidRPr="00DD7D43">
              <w:rPr>
                <w:rFonts w:ascii="Arial" w:hAnsi="Arial" w:cs="Arial"/>
                <w:sz w:val="20"/>
                <w:szCs w:val="20"/>
              </w:rPr>
              <w:t>30-49 years*</w:t>
            </w:r>
          </w:p>
        </w:tc>
        <w:tc>
          <w:tcPr>
            <w:tcW w:w="2803" w:type="dxa"/>
          </w:tcPr>
          <w:p w14:paraId="5D734994"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57</w:t>
            </w:r>
          </w:p>
        </w:tc>
        <w:tc>
          <w:tcPr>
            <w:tcW w:w="2448" w:type="dxa"/>
          </w:tcPr>
          <w:p w14:paraId="5D734995"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62</w:t>
            </w:r>
          </w:p>
        </w:tc>
        <w:tc>
          <w:tcPr>
            <w:tcW w:w="2449" w:type="dxa"/>
          </w:tcPr>
          <w:p w14:paraId="5D734996"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52</w:t>
            </w:r>
          </w:p>
        </w:tc>
      </w:tr>
      <w:tr w:rsidR="00B803EC" w:rsidRPr="00DD7D43" w14:paraId="5D73499C" w14:textId="77777777" w:rsidTr="00292818">
        <w:trPr>
          <w:trHeight w:val="54"/>
        </w:trPr>
        <w:tc>
          <w:tcPr>
            <w:cnfStyle w:val="001000000000" w:firstRow="0" w:lastRow="0" w:firstColumn="1" w:lastColumn="0" w:oddVBand="0" w:evenVBand="0" w:oddHBand="0" w:evenHBand="0" w:firstRowFirstColumn="0" w:firstRowLastColumn="0" w:lastRowFirstColumn="0" w:lastRowLastColumn="0"/>
            <w:tcW w:w="2093" w:type="dxa"/>
          </w:tcPr>
          <w:p w14:paraId="5D734998" w14:textId="77777777" w:rsidR="00B803EC" w:rsidRPr="00DD7D43" w:rsidRDefault="00B803EC" w:rsidP="00CC5193">
            <w:pPr>
              <w:rPr>
                <w:rFonts w:ascii="Arial" w:hAnsi="Arial" w:cs="Arial"/>
                <w:sz w:val="20"/>
                <w:szCs w:val="20"/>
              </w:rPr>
            </w:pPr>
            <w:r w:rsidRPr="00DD7D43">
              <w:rPr>
                <w:rFonts w:ascii="Arial" w:hAnsi="Arial" w:cs="Arial"/>
                <w:sz w:val="20"/>
                <w:szCs w:val="20"/>
              </w:rPr>
              <w:t>50-69 years*</w:t>
            </w:r>
          </w:p>
        </w:tc>
        <w:tc>
          <w:tcPr>
            <w:tcW w:w="2803" w:type="dxa"/>
          </w:tcPr>
          <w:p w14:paraId="5D734999"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57</w:t>
            </w:r>
          </w:p>
        </w:tc>
        <w:tc>
          <w:tcPr>
            <w:tcW w:w="2448" w:type="dxa"/>
          </w:tcPr>
          <w:p w14:paraId="5D73499A"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61</w:t>
            </w:r>
          </w:p>
        </w:tc>
        <w:tc>
          <w:tcPr>
            <w:tcW w:w="2449" w:type="dxa"/>
          </w:tcPr>
          <w:p w14:paraId="5D73499B"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52</w:t>
            </w:r>
          </w:p>
        </w:tc>
      </w:tr>
      <w:tr w:rsidR="00B803EC" w:rsidRPr="00DD7D43" w14:paraId="5D7349A1" w14:textId="77777777" w:rsidTr="006D7070">
        <w:trPr>
          <w:trHeight w:val="54"/>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14:paraId="5D73499D" w14:textId="77777777" w:rsidR="00B803EC" w:rsidRPr="00DD7D43" w:rsidRDefault="00B803EC" w:rsidP="00CC5193">
            <w:pPr>
              <w:rPr>
                <w:rFonts w:ascii="Arial" w:hAnsi="Arial" w:cs="Arial"/>
                <w:sz w:val="20"/>
                <w:szCs w:val="20"/>
              </w:rPr>
            </w:pPr>
            <w:r w:rsidRPr="00DD7D43">
              <w:rPr>
                <w:rFonts w:ascii="Arial" w:hAnsi="Arial" w:cs="Arial"/>
                <w:sz w:val="20"/>
                <w:szCs w:val="20"/>
              </w:rPr>
              <w:t>70 years and above*</w:t>
            </w:r>
          </w:p>
        </w:tc>
        <w:tc>
          <w:tcPr>
            <w:tcW w:w="2803" w:type="dxa"/>
            <w:tcBorders>
              <w:bottom w:val="single" w:sz="4" w:space="0" w:color="auto"/>
            </w:tcBorders>
          </w:tcPr>
          <w:p w14:paraId="5D73499E"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59</w:t>
            </w:r>
          </w:p>
        </w:tc>
        <w:tc>
          <w:tcPr>
            <w:tcW w:w="2448" w:type="dxa"/>
            <w:tcBorders>
              <w:bottom w:val="single" w:sz="4" w:space="0" w:color="auto"/>
            </w:tcBorders>
          </w:tcPr>
          <w:p w14:paraId="5D73499F"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63</w:t>
            </w:r>
          </w:p>
        </w:tc>
        <w:tc>
          <w:tcPr>
            <w:tcW w:w="2449" w:type="dxa"/>
            <w:tcBorders>
              <w:bottom w:val="single" w:sz="4" w:space="0" w:color="auto"/>
            </w:tcBorders>
          </w:tcPr>
          <w:p w14:paraId="5D7349A0"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56</w:t>
            </w:r>
          </w:p>
        </w:tc>
      </w:tr>
      <w:tr w:rsidR="00B803EC" w:rsidRPr="00DD7D43" w14:paraId="5D7349A6" w14:textId="77777777" w:rsidTr="006D7070">
        <w:trPr>
          <w:trHeight w:val="5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nil"/>
            </w:tcBorders>
          </w:tcPr>
          <w:p w14:paraId="5D7349A2" w14:textId="77777777" w:rsidR="00B803EC" w:rsidRPr="00DD7D43" w:rsidRDefault="00B803EC" w:rsidP="00CC5193">
            <w:pPr>
              <w:rPr>
                <w:rFonts w:ascii="Arial" w:hAnsi="Arial" w:cs="Arial"/>
                <w:sz w:val="20"/>
                <w:szCs w:val="20"/>
              </w:rPr>
            </w:pPr>
            <w:r w:rsidRPr="00DD7D43">
              <w:rPr>
                <w:rFonts w:ascii="Arial" w:hAnsi="Arial" w:cs="Arial"/>
                <w:sz w:val="20"/>
                <w:szCs w:val="20"/>
              </w:rPr>
              <w:t>17 years and above*</w:t>
            </w:r>
          </w:p>
        </w:tc>
        <w:tc>
          <w:tcPr>
            <w:tcW w:w="2803" w:type="dxa"/>
            <w:tcBorders>
              <w:top w:val="single" w:sz="4" w:space="0" w:color="auto"/>
              <w:bottom w:val="nil"/>
            </w:tcBorders>
          </w:tcPr>
          <w:p w14:paraId="5D7349A3"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57</w:t>
            </w:r>
          </w:p>
        </w:tc>
        <w:tc>
          <w:tcPr>
            <w:tcW w:w="2448" w:type="dxa"/>
            <w:tcBorders>
              <w:top w:val="single" w:sz="4" w:space="0" w:color="auto"/>
              <w:bottom w:val="nil"/>
            </w:tcBorders>
          </w:tcPr>
          <w:p w14:paraId="5D7349A4"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61</w:t>
            </w:r>
          </w:p>
        </w:tc>
        <w:tc>
          <w:tcPr>
            <w:tcW w:w="2449" w:type="dxa"/>
            <w:tcBorders>
              <w:top w:val="single" w:sz="4" w:space="0" w:color="auto"/>
              <w:bottom w:val="nil"/>
            </w:tcBorders>
          </w:tcPr>
          <w:p w14:paraId="5D7349A5"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52</w:t>
            </w:r>
          </w:p>
        </w:tc>
      </w:tr>
      <w:tr w:rsidR="00B803EC" w:rsidRPr="00DD7D43" w14:paraId="5D7349AB" w14:textId="77777777" w:rsidTr="006D7070">
        <w:trPr>
          <w:trHeight w:val="54"/>
        </w:trPr>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14:paraId="5D7349A7" w14:textId="77777777" w:rsidR="00B803EC" w:rsidRPr="00DD7D43" w:rsidRDefault="00B803EC" w:rsidP="00CC5193">
            <w:pPr>
              <w:rPr>
                <w:rFonts w:ascii="Arial" w:hAnsi="Arial" w:cs="Arial"/>
                <w:sz w:val="20"/>
                <w:szCs w:val="20"/>
              </w:rPr>
            </w:pPr>
            <w:r w:rsidRPr="00DD7D43">
              <w:rPr>
                <w:rFonts w:ascii="Arial" w:hAnsi="Arial" w:cs="Arial"/>
                <w:sz w:val="20"/>
                <w:szCs w:val="20"/>
              </w:rPr>
              <w:t>16-44 years*</w:t>
            </w:r>
          </w:p>
        </w:tc>
        <w:tc>
          <w:tcPr>
            <w:tcW w:w="2803" w:type="dxa"/>
            <w:tcBorders>
              <w:top w:val="nil"/>
            </w:tcBorders>
          </w:tcPr>
          <w:p w14:paraId="5D7349A8"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58</w:t>
            </w:r>
          </w:p>
        </w:tc>
        <w:tc>
          <w:tcPr>
            <w:tcW w:w="2448" w:type="dxa"/>
            <w:tcBorders>
              <w:top w:val="nil"/>
            </w:tcBorders>
          </w:tcPr>
          <w:p w14:paraId="5D7349A9" w14:textId="77777777" w:rsidR="00B803EC" w:rsidRPr="00AB331F" w:rsidRDefault="005B5E4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60</w:t>
            </w:r>
          </w:p>
        </w:tc>
        <w:tc>
          <w:tcPr>
            <w:tcW w:w="2449" w:type="dxa"/>
            <w:tcBorders>
              <w:top w:val="nil"/>
            </w:tcBorders>
          </w:tcPr>
          <w:p w14:paraId="5D7349AA" w14:textId="77777777" w:rsidR="00B803EC" w:rsidRPr="00AB331F" w:rsidRDefault="00B803EC"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B331F">
              <w:rPr>
                <w:rFonts w:ascii="Arial" w:hAnsi="Arial" w:cs="Arial"/>
                <w:color w:val="000000" w:themeColor="text1"/>
                <w:sz w:val="20"/>
                <w:szCs w:val="20"/>
              </w:rPr>
              <w:t>52</w:t>
            </w:r>
          </w:p>
        </w:tc>
      </w:tr>
    </w:tbl>
    <w:p w14:paraId="5D7349AC" w14:textId="77777777" w:rsidR="00D03ED1" w:rsidRDefault="007A4EA2" w:rsidP="00D03ED1">
      <w:pPr>
        <w:spacing w:after="0"/>
        <w:rPr>
          <w:rFonts w:ascii="Arial" w:hAnsi="Arial" w:cs="Arial"/>
          <w:sz w:val="18"/>
          <w:szCs w:val="18"/>
          <w:lang w:val="en-AU" w:eastAsia="en-AU"/>
        </w:rPr>
      </w:pPr>
      <w:r>
        <w:rPr>
          <w:rFonts w:ascii="Arial" w:hAnsi="Arial" w:cs="Arial"/>
          <w:sz w:val="18"/>
          <w:szCs w:val="18"/>
          <w:lang w:val="en-AU" w:eastAsia="en-AU"/>
        </w:rPr>
        <w:t># E</w:t>
      </w:r>
      <w:r w:rsidRPr="00D30256">
        <w:rPr>
          <w:rFonts w:ascii="Arial" w:hAnsi="Arial" w:cs="Arial"/>
          <w:sz w:val="18"/>
          <w:szCs w:val="18"/>
          <w:lang w:val="en-AU" w:eastAsia="en-AU"/>
        </w:rPr>
        <w:t>stimates for age group derived using the 2007 ANCNPAS (include</w:t>
      </w:r>
      <w:r w:rsidR="00D03ED1">
        <w:rPr>
          <w:rFonts w:ascii="Arial" w:hAnsi="Arial" w:cs="Arial"/>
          <w:sz w:val="18"/>
          <w:szCs w:val="18"/>
          <w:lang w:val="en-AU" w:eastAsia="en-AU"/>
        </w:rPr>
        <w:t>s quantified salt consumption)</w:t>
      </w:r>
      <w:r w:rsidR="00D55217">
        <w:rPr>
          <w:rFonts w:ascii="Arial" w:hAnsi="Arial" w:cs="Arial"/>
          <w:sz w:val="18"/>
          <w:szCs w:val="18"/>
          <w:lang w:val="en-AU" w:eastAsia="en-AU"/>
        </w:rPr>
        <w:t xml:space="preserve">, </w:t>
      </w:r>
      <w:r w:rsidR="00D55217">
        <w:rPr>
          <w:rFonts w:ascii="Arial" w:hAnsi="Arial" w:cs="Arial"/>
          <w:sz w:val="18"/>
          <w:szCs w:val="18"/>
        </w:rPr>
        <w:t>2</w:t>
      </w:r>
      <w:r w:rsidR="00D55217" w:rsidRPr="00675D65">
        <w:rPr>
          <w:rFonts w:ascii="Arial" w:hAnsi="Arial" w:cs="Arial"/>
          <w:sz w:val="18"/>
          <w:szCs w:val="18"/>
          <w:vertAlign w:val="superscript"/>
        </w:rPr>
        <w:t>nd</w:t>
      </w:r>
      <w:r w:rsidR="00D55217">
        <w:rPr>
          <w:rFonts w:ascii="Arial" w:hAnsi="Arial" w:cs="Arial"/>
          <w:sz w:val="18"/>
          <w:szCs w:val="18"/>
        </w:rPr>
        <w:t xml:space="preserve"> day adjusted usual intake estimates</w:t>
      </w:r>
      <w:r w:rsidR="00D03ED1">
        <w:rPr>
          <w:rFonts w:ascii="Arial" w:hAnsi="Arial" w:cs="Arial"/>
          <w:sz w:val="18"/>
          <w:szCs w:val="18"/>
          <w:lang w:val="en-AU" w:eastAsia="en-AU"/>
        </w:rPr>
        <w:t>.</w:t>
      </w:r>
    </w:p>
    <w:p w14:paraId="5D7349AE" w14:textId="3C88F3C2" w:rsidR="00D8301E" w:rsidRPr="00D03ED1" w:rsidRDefault="007A4EA2" w:rsidP="00D03ED1">
      <w:pPr>
        <w:rPr>
          <w:rFonts w:ascii="Arial" w:hAnsi="Arial" w:cs="Arial"/>
          <w:sz w:val="18"/>
          <w:szCs w:val="18"/>
          <w:lang w:val="en-AU" w:eastAsia="en-AU"/>
        </w:rPr>
      </w:pPr>
      <w:r w:rsidRPr="00D30256">
        <w:rPr>
          <w:rFonts w:ascii="Arial" w:hAnsi="Arial" w:cs="Arial"/>
          <w:sz w:val="18"/>
          <w:szCs w:val="18"/>
          <w:lang w:val="en-AU" w:eastAsia="en-AU"/>
        </w:rPr>
        <w:t>*Estimates for age group derived using the 1995</w:t>
      </w:r>
      <w:r w:rsidR="006B6471">
        <w:rPr>
          <w:rFonts w:ascii="Arial" w:hAnsi="Arial" w:cs="Arial"/>
          <w:sz w:val="18"/>
          <w:szCs w:val="18"/>
          <w:lang w:val="en-AU" w:eastAsia="en-AU"/>
        </w:rPr>
        <w:t xml:space="preserve"> </w:t>
      </w:r>
      <w:r w:rsidRPr="00D30256">
        <w:rPr>
          <w:rFonts w:ascii="Arial" w:hAnsi="Arial" w:cs="Arial"/>
          <w:sz w:val="18"/>
          <w:szCs w:val="18"/>
          <w:lang w:val="en-AU" w:eastAsia="en-AU"/>
        </w:rPr>
        <w:t>National Nutrition Survey</w:t>
      </w:r>
      <w:r w:rsidR="00D55217">
        <w:rPr>
          <w:rFonts w:ascii="Arial" w:hAnsi="Arial" w:cs="Arial"/>
          <w:sz w:val="18"/>
          <w:szCs w:val="18"/>
          <w:lang w:val="en-AU" w:eastAsia="en-AU"/>
        </w:rPr>
        <w:t xml:space="preserve">, </w:t>
      </w:r>
      <w:r w:rsidR="00D55217">
        <w:rPr>
          <w:rFonts w:ascii="Arial" w:hAnsi="Arial" w:cs="Arial"/>
          <w:sz w:val="18"/>
          <w:szCs w:val="18"/>
        </w:rPr>
        <w:t>2</w:t>
      </w:r>
      <w:r w:rsidR="00D55217" w:rsidRPr="00675D65">
        <w:rPr>
          <w:rFonts w:ascii="Arial" w:hAnsi="Arial" w:cs="Arial"/>
          <w:sz w:val="18"/>
          <w:szCs w:val="18"/>
          <w:vertAlign w:val="superscript"/>
        </w:rPr>
        <w:t>nd</w:t>
      </w:r>
      <w:r w:rsidR="00D55217">
        <w:rPr>
          <w:rFonts w:ascii="Arial" w:hAnsi="Arial" w:cs="Arial"/>
          <w:sz w:val="18"/>
          <w:szCs w:val="18"/>
        </w:rPr>
        <w:t xml:space="preserve"> day adjusted usual intake estimates</w:t>
      </w:r>
    </w:p>
    <w:p w14:paraId="5D7349AF" w14:textId="77777777" w:rsidR="00751276" w:rsidRPr="00751276" w:rsidRDefault="004B05C0" w:rsidP="00622A8C">
      <w:pPr>
        <w:pStyle w:val="Heading3"/>
      </w:pPr>
      <w:bookmarkStart w:id="27" w:name="_Toc430854510"/>
      <w:r>
        <w:t>6.2.2</w:t>
      </w:r>
      <w:r>
        <w:tab/>
      </w:r>
      <w:r w:rsidR="00D55217">
        <w:t>Usual i</w:t>
      </w:r>
      <w:r>
        <w:t xml:space="preserve">ntake estimates for </w:t>
      </w:r>
      <w:r w:rsidR="005808CA">
        <w:t>non-</w:t>
      </w:r>
      <w:r w:rsidR="00642AB1">
        <w:t xml:space="preserve">target </w:t>
      </w:r>
      <w:r>
        <w:t>population sub-groups</w:t>
      </w:r>
      <w:bookmarkEnd w:id="27"/>
    </w:p>
    <w:p w14:paraId="5D7349B0" w14:textId="77777777" w:rsidR="00A9469B" w:rsidRPr="00647F4C" w:rsidRDefault="004B05C0" w:rsidP="00CC5193">
      <w:pPr>
        <w:tabs>
          <w:tab w:val="clear" w:pos="567"/>
        </w:tabs>
        <w:rPr>
          <w:rFonts w:ascii="Arial" w:hAnsi="Arial" w:cs="Arial"/>
          <w:color w:val="000000" w:themeColor="text1"/>
          <w:sz w:val="22"/>
        </w:rPr>
      </w:pPr>
      <w:r w:rsidRPr="00647F4C">
        <w:rPr>
          <w:rFonts w:ascii="Arial" w:hAnsi="Arial" w:cs="Arial"/>
          <w:color w:val="000000" w:themeColor="text1"/>
          <w:sz w:val="22"/>
        </w:rPr>
        <w:t xml:space="preserve">The estimated increase in </w:t>
      </w:r>
      <w:r w:rsidR="00642AB1" w:rsidRPr="00647F4C">
        <w:rPr>
          <w:rFonts w:ascii="Arial" w:hAnsi="Arial" w:cs="Arial"/>
          <w:color w:val="000000" w:themeColor="text1"/>
          <w:sz w:val="22"/>
        </w:rPr>
        <w:t xml:space="preserve">mean </w:t>
      </w:r>
      <w:r w:rsidRPr="00647F4C">
        <w:rPr>
          <w:rFonts w:ascii="Arial" w:hAnsi="Arial" w:cs="Arial"/>
          <w:color w:val="000000" w:themeColor="text1"/>
          <w:sz w:val="22"/>
        </w:rPr>
        <w:t>dietary iodine intake for all Australians aged 4</w:t>
      </w:r>
      <w:r w:rsidR="006542D0" w:rsidRPr="00647F4C">
        <w:rPr>
          <w:rFonts w:ascii="Arial" w:hAnsi="Arial" w:cs="Arial"/>
          <w:color w:val="000000" w:themeColor="text1"/>
          <w:sz w:val="22"/>
        </w:rPr>
        <w:t xml:space="preserve"> years and above was between 50 </w:t>
      </w:r>
      <w:r w:rsidRPr="00647F4C">
        <w:rPr>
          <w:rFonts w:ascii="Arial" w:hAnsi="Arial" w:cs="Arial"/>
          <w:color w:val="000000" w:themeColor="text1"/>
          <w:sz w:val="22"/>
        </w:rPr>
        <w:t>and 6</w:t>
      </w:r>
      <w:r w:rsidR="00AD6F64" w:rsidRPr="00647F4C">
        <w:rPr>
          <w:rFonts w:ascii="Arial" w:hAnsi="Arial" w:cs="Arial"/>
          <w:color w:val="000000" w:themeColor="text1"/>
          <w:sz w:val="22"/>
        </w:rPr>
        <w:t>4</w:t>
      </w:r>
      <w:r w:rsidRPr="00647F4C">
        <w:rPr>
          <w:rFonts w:ascii="Arial" w:hAnsi="Arial" w:cs="Arial"/>
          <w:color w:val="000000" w:themeColor="text1"/>
          <w:sz w:val="22"/>
        </w:rPr>
        <w:t xml:space="preserve"> µg/day following mandatory iodine fortification of bread (</w:t>
      </w:r>
      <w:r w:rsidR="00CF377B" w:rsidRPr="00647F4C">
        <w:rPr>
          <w:rFonts w:ascii="Arial" w:hAnsi="Arial" w:cs="Arial"/>
          <w:color w:val="000000" w:themeColor="text1"/>
          <w:sz w:val="22"/>
        </w:rPr>
        <w:t xml:space="preserve">Table </w:t>
      </w:r>
      <w:r w:rsidR="00DA4F8C">
        <w:rPr>
          <w:rFonts w:ascii="Arial" w:hAnsi="Arial" w:cs="Arial"/>
          <w:color w:val="000000" w:themeColor="text1"/>
          <w:sz w:val="22"/>
        </w:rPr>
        <w:t>3</w:t>
      </w:r>
      <w:r w:rsidRPr="00647F4C">
        <w:rPr>
          <w:rFonts w:ascii="Arial" w:hAnsi="Arial" w:cs="Arial"/>
          <w:color w:val="000000" w:themeColor="text1"/>
          <w:sz w:val="22"/>
        </w:rPr>
        <w:t xml:space="preserve">). </w:t>
      </w:r>
      <w:r w:rsidR="00DC328F" w:rsidRPr="00647F4C">
        <w:rPr>
          <w:rFonts w:ascii="Arial" w:hAnsi="Arial" w:cs="Arial"/>
          <w:color w:val="000000" w:themeColor="text1"/>
          <w:sz w:val="22"/>
        </w:rPr>
        <w:t xml:space="preserve">The percent increases in the estimated mean </w:t>
      </w:r>
      <w:r w:rsidR="00EC0654">
        <w:rPr>
          <w:rFonts w:ascii="Arial" w:hAnsi="Arial" w:cs="Arial"/>
          <w:color w:val="000000" w:themeColor="text1"/>
          <w:sz w:val="22"/>
        </w:rPr>
        <w:t>usual</w:t>
      </w:r>
      <w:r w:rsidR="00EC0654" w:rsidRPr="00647F4C">
        <w:rPr>
          <w:rFonts w:ascii="Arial" w:hAnsi="Arial" w:cs="Arial"/>
          <w:color w:val="000000" w:themeColor="text1"/>
          <w:sz w:val="22"/>
        </w:rPr>
        <w:t xml:space="preserve"> </w:t>
      </w:r>
      <w:r w:rsidR="00DC328F" w:rsidRPr="00647F4C">
        <w:rPr>
          <w:rFonts w:ascii="Arial" w:hAnsi="Arial" w:cs="Arial"/>
          <w:color w:val="000000" w:themeColor="text1"/>
          <w:sz w:val="22"/>
        </w:rPr>
        <w:t xml:space="preserve">intake for </w:t>
      </w:r>
      <w:r w:rsidR="00E1778A" w:rsidRPr="00647F4C">
        <w:rPr>
          <w:rFonts w:ascii="Arial" w:hAnsi="Arial" w:cs="Arial"/>
          <w:color w:val="000000" w:themeColor="text1"/>
          <w:sz w:val="22"/>
        </w:rPr>
        <w:t>males</w:t>
      </w:r>
      <w:r w:rsidR="00DC328F" w:rsidRPr="00647F4C">
        <w:rPr>
          <w:rFonts w:ascii="Arial" w:hAnsi="Arial" w:cs="Arial"/>
          <w:color w:val="000000" w:themeColor="text1"/>
          <w:sz w:val="22"/>
        </w:rPr>
        <w:t xml:space="preserve"> and </w:t>
      </w:r>
      <w:r w:rsidR="00E1778A" w:rsidRPr="00647F4C">
        <w:rPr>
          <w:rFonts w:ascii="Arial" w:hAnsi="Arial" w:cs="Arial"/>
          <w:color w:val="000000" w:themeColor="text1"/>
          <w:sz w:val="22"/>
        </w:rPr>
        <w:t>females</w:t>
      </w:r>
      <w:r w:rsidR="00DC328F" w:rsidRPr="00647F4C">
        <w:rPr>
          <w:rFonts w:ascii="Arial" w:hAnsi="Arial" w:cs="Arial"/>
          <w:color w:val="000000" w:themeColor="text1"/>
          <w:sz w:val="22"/>
        </w:rPr>
        <w:t xml:space="preserve"> in this age category </w:t>
      </w:r>
      <w:r w:rsidR="00C4262F" w:rsidRPr="00647F4C">
        <w:rPr>
          <w:rFonts w:ascii="Arial" w:hAnsi="Arial" w:cs="Arial"/>
          <w:color w:val="000000" w:themeColor="text1"/>
          <w:sz w:val="22"/>
        </w:rPr>
        <w:t>range</w:t>
      </w:r>
      <w:r w:rsidR="00DC2DF6" w:rsidRPr="00647F4C">
        <w:rPr>
          <w:rFonts w:ascii="Arial" w:hAnsi="Arial" w:cs="Arial"/>
          <w:color w:val="000000" w:themeColor="text1"/>
          <w:sz w:val="22"/>
        </w:rPr>
        <w:t>d</w:t>
      </w:r>
      <w:r w:rsidR="00C4262F" w:rsidRPr="00647F4C">
        <w:rPr>
          <w:rFonts w:ascii="Arial" w:hAnsi="Arial" w:cs="Arial"/>
          <w:color w:val="000000" w:themeColor="text1"/>
          <w:sz w:val="22"/>
        </w:rPr>
        <w:t xml:space="preserve"> from </w:t>
      </w:r>
      <w:r w:rsidR="00605C68" w:rsidRPr="00647F4C">
        <w:rPr>
          <w:rFonts w:ascii="Arial" w:hAnsi="Arial" w:cs="Arial"/>
          <w:color w:val="000000" w:themeColor="text1"/>
          <w:sz w:val="22"/>
        </w:rPr>
        <w:t>42</w:t>
      </w:r>
      <w:r w:rsidR="00C4262F" w:rsidRPr="00647F4C">
        <w:rPr>
          <w:rFonts w:ascii="Arial" w:hAnsi="Arial" w:cs="Arial"/>
          <w:color w:val="000000" w:themeColor="text1"/>
          <w:sz w:val="22"/>
        </w:rPr>
        <w:t>-</w:t>
      </w:r>
      <w:r w:rsidR="00605C68" w:rsidRPr="00647F4C">
        <w:rPr>
          <w:rFonts w:ascii="Arial" w:hAnsi="Arial" w:cs="Arial"/>
          <w:color w:val="000000" w:themeColor="text1"/>
          <w:sz w:val="22"/>
        </w:rPr>
        <w:t>62</w:t>
      </w:r>
      <w:r w:rsidR="00C4262F" w:rsidRPr="00647F4C">
        <w:rPr>
          <w:rFonts w:ascii="Arial" w:hAnsi="Arial" w:cs="Arial"/>
          <w:color w:val="000000" w:themeColor="text1"/>
          <w:sz w:val="22"/>
        </w:rPr>
        <w:t xml:space="preserve">% for </w:t>
      </w:r>
      <w:r w:rsidR="00E1778A" w:rsidRPr="00647F4C">
        <w:rPr>
          <w:rFonts w:ascii="Arial" w:hAnsi="Arial" w:cs="Arial"/>
          <w:color w:val="000000" w:themeColor="text1"/>
          <w:sz w:val="22"/>
        </w:rPr>
        <w:t>males</w:t>
      </w:r>
      <w:r w:rsidR="00C4262F" w:rsidRPr="00647F4C">
        <w:rPr>
          <w:rFonts w:ascii="Arial" w:hAnsi="Arial" w:cs="Arial"/>
          <w:color w:val="000000" w:themeColor="text1"/>
          <w:sz w:val="22"/>
        </w:rPr>
        <w:t xml:space="preserve"> and </w:t>
      </w:r>
      <w:r w:rsidR="00605C68" w:rsidRPr="00647F4C">
        <w:rPr>
          <w:rFonts w:ascii="Arial" w:hAnsi="Arial" w:cs="Arial"/>
          <w:color w:val="000000" w:themeColor="text1"/>
          <w:sz w:val="22"/>
        </w:rPr>
        <w:t>41</w:t>
      </w:r>
      <w:r w:rsidR="00C4262F" w:rsidRPr="00647F4C">
        <w:rPr>
          <w:rFonts w:ascii="Arial" w:hAnsi="Arial" w:cs="Arial"/>
          <w:color w:val="000000" w:themeColor="text1"/>
          <w:sz w:val="22"/>
        </w:rPr>
        <w:t>-</w:t>
      </w:r>
      <w:r w:rsidR="00AD6F64" w:rsidRPr="00647F4C">
        <w:rPr>
          <w:rFonts w:ascii="Arial" w:hAnsi="Arial" w:cs="Arial"/>
          <w:color w:val="000000" w:themeColor="text1"/>
          <w:sz w:val="22"/>
        </w:rPr>
        <w:t>56</w:t>
      </w:r>
      <w:r w:rsidR="00C4262F" w:rsidRPr="00647F4C">
        <w:rPr>
          <w:rFonts w:ascii="Arial" w:hAnsi="Arial" w:cs="Arial"/>
          <w:color w:val="000000" w:themeColor="text1"/>
          <w:sz w:val="22"/>
        </w:rPr>
        <w:t xml:space="preserve">% for </w:t>
      </w:r>
      <w:r w:rsidR="00E1778A" w:rsidRPr="00647F4C">
        <w:rPr>
          <w:rFonts w:ascii="Arial" w:hAnsi="Arial" w:cs="Arial"/>
          <w:color w:val="000000" w:themeColor="text1"/>
          <w:sz w:val="22"/>
        </w:rPr>
        <w:t>females</w:t>
      </w:r>
      <w:r w:rsidR="00DA4F8C">
        <w:rPr>
          <w:rFonts w:ascii="Arial" w:hAnsi="Arial" w:cs="Arial"/>
          <w:color w:val="000000" w:themeColor="text1"/>
          <w:sz w:val="22"/>
        </w:rPr>
        <w:t xml:space="preserve"> (Table 4)</w:t>
      </w:r>
      <w:r w:rsidR="00DC328F" w:rsidRPr="00647F4C">
        <w:rPr>
          <w:rFonts w:ascii="Arial" w:hAnsi="Arial" w:cs="Arial"/>
          <w:color w:val="000000" w:themeColor="text1"/>
          <w:sz w:val="22"/>
        </w:rPr>
        <w:t xml:space="preserve">. </w:t>
      </w:r>
      <w:r w:rsidR="00E1778A" w:rsidRPr="00647F4C">
        <w:rPr>
          <w:rFonts w:ascii="Arial" w:hAnsi="Arial" w:cs="Arial"/>
          <w:color w:val="000000" w:themeColor="text1"/>
          <w:sz w:val="22"/>
        </w:rPr>
        <w:t>For the other population sub-groups, t</w:t>
      </w:r>
      <w:r w:rsidR="00DC328F" w:rsidRPr="00647F4C">
        <w:rPr>
          <w:rFonts w:ascii="Arial" w:hAnsi="Arial" w:cs="Arial"/>
          <w:color w:val="000000" w:themeColor="text1"/>
          <w:sz w:val="22"/>
        </w:rPr>
        <w:t>he average increase</w:t>
      </w:r>
      <w:r w:rsidR="00E1778A" w:rsidRPr="00647F4C">
        <w:rPr>
          <w:rFonts w:ascii="Arial" w:hAnsi="Arial" w:cs="Arial"/>
          <w:color w:val="000000" w:themeColor="text1"/>
          <w:sz w:val="22"/>
        </w:rPr>
        <w:t>s</w:t>
      </w:r>
      <w:r w:rsidR="00DC328F" w:rsidRPr="00647F4C">
        <w:rPr>
          <w:rFonts w:ascii="Arial" w:hAnsi="Arial" w:cs="Arial"/>
          <w:color w:val="000000" w:themeColor="text1"/>
          <w:sz w:val="22"/>
        </w:rPr>
        <w:t xml:space="preserve"> in estimated mean </w:t>
      </w:r>
      <w:r w:rsidR="00EC0654">
        <w:rPr>
          <w:rFonts w:ascii="Arial" w:hAnsi="Arial" w:cs="Arial"/>
          <w:color w:val="000000" w:themeColor="text1"/>
          <w:sz w:val="22"/>
        </w:rPr>
        <w:t>usual</w:t>
      </w:r>
      <w:r w:rsidR="00EC0654" w:rsidRPr="00647F4C">
        <w:rPr>
          <w:rFonts w:ascii="Arial" w:hAnsi="Arial" w:cs="Arial"/>
          <w:color w:val="000000" w:themeColor="text1"/>
          <w:sz w:val="22"/>
        </w:rPr>
        <w:t xml:space="preserve"> </w:t>
      </w:r>
      <w:r w:rsidR="00DC328F" w:rsidRPr="00647F4C">
        <w:rPr>
          <w:rFonts w:ascii="Arial" w:hAnsi="Arial" w:cs="Arial"/>
          <w:color w:val="000000" w:themeColor="text1"/>
          <w:sz w:val="22"/>
        </w:rPr>
        <w:t xml:space="preserve">iodine intake </w:t>
      </w:r>
      <w:r w:rsidR="00E1778A" w:rsidRPr="00647F4C">
        <w:rPr>
          <w:rFonts w:ascii="Arial" w:hAnsi="Arial" w:cs="Arial"/>
          <w:color w:val="000000" w:themeColor="text1"/>
          <w:sz w:val="22"/>
        </w:rPr>
        <w:t xml:space="preserve">and the percent increases on their pre-fortification intake amounts </w:t>
      </w:r>
      <w:r w:rsidR="00DC328F" w:rsidRPr="00647F4C">
        <w:rPr>
          <w:rFonts w:ascii="Arial" w:hAnsi="Arial" w:cs="Arial"/>
          <w:color w:val="000000" w:themeColor="text1"/>
          <w:sz w:val="22"/>
        </w:rPr>
        <w:t>are shown in Table</w:t>
      </w:r>
      <w:r w:rsidR="00DA4F8C">
        <w:rPr>
          <w:rFonts w:ascii="Arial" w:hAnsi="Arial" w:cs="Arial"/>
          <w:color w:val="000000" w:themeColor="text1"/>
          <w:sz w:val="22"/>
        </w:rPr>
        <w:t>s 3,</w:t>
      </w:r>
      <w:r w:rsidR="00AD6F64" w:rsidRPr="00647F4C">
        <w:rPr>
          <w:rFonts w:ascii="Arial" w:hAnsi="Arial" w:cs="Arial"/>
          <w:color w:val="000000" w:themeColor="text1"/>
          <w:sz w:val="22"/>
        </w:rPr>
        <w:t xml:space="preserve"> </w:t>
      </w:r>
      <w:r w:rsidR="00247699">
        <w:rPr>
          <w:rFonts w:ascii="Arial" w:hAnsi="Arial" w:cs="Arial"/>
          <w:color w:val="000000" w:themeColor="text1"/>
          <w:sz w:val="22"/>
        </w:rPr>
        <w:t>4</w:t>
      </w:r>
      <w:r w:rsidR="00DA4F8C">
        <w:rPr>
          <w:rFonts w:ascii="Arial" w:hAnsi="Arial" w:cs="Arial"/>
          <w:color w:val="000000" w:themeColor="text1"/>
          <w:sz w:val="22"/>
        </w:rPr>
        <w:t>.</w:t>
      </w:r>
    </w:p>
    <w:p w14:paraId="5D7349B1" w14:textId="67112B64" w:rsidR="004B05C0" w:rsidRPr="00647F4C" w:rsidRDefault="005358F0" w:rsidP="003C10CD">
      <w:pPr>
        <w:pStyle w:val="ListParagraph"/>
        <w:numPr>
          <w:ilvl w:val="0"/>
          <w:numId w:val="20"/>
        </w:numPr>
        <w:tabs>
          <w:tab w:val="clear" w:pos="567"/>
        </w:tabs>
        <w:ind w:left="630" w:hanging="630"/>
        <w:contextualSpacing w:val="0"/>
        <w:rPr>
          <w:rFonts w:ascii="Arial" w:hAnsi="Arial" w:cs="Arial"/>
          <w:color w:val="000000" w:themeColor="text1"/>
          <w:sz w:val="22"/>
        </w:rPr>
      </w:pPr>
      <w:r w:rsidRPr="00647F4C">
        <w:rPr>
          <w:rFonts w:ascii="Arial" w:hAnsi="Arial" w:cs="Arial"/>
          <w:color w:val="000000" w:themeColor="text1"/>
          <w:sz w:val="22"/>
        </w:rPr>
        <w:lastRenderedPageBreak/>
        <w:t>Y</w:t>
      </w:r>
      <w:r w:rsidR="004B05C0" w:rsidRPr="00647F4C">
        <w:rPr>
          <w:rFonts w:ascii="Arial" w:hAnsi="Arial" w:cs="Arial"/>
          <w:color w:val="000000" w:themeColor="text1"/>
          <w:sz w:val="22"/>
        </w:rPr>
        <w:t xml:space="preserve">oung adults aged 19 to 29 years had an average increase </w:t>
      </w:r>
      <w:proofErr w:type="gramStart"/>
      <w:r w:rsidR="004B05C0" w:rsidRPr="00647F4C">
        <w:rPr>
          <w:rFonts w:ascii="Arial" w:hAnsi="Arial" w:cs="Arial"/>
          <w:color w:val="000000" w:themeColor="text1"/>
          <w:sz w:val="22"/>
        </w:rPr>
        <w:t>of 6</w:t>
      </w:r>
      <w:r w:rsidRPr="00647F4C">
        <w:rPr>
          <w:rFonts w:ascii="Arial" w:hAnsi="Arial" w:cs="Arial"/>
          <w:color w:val="000000" w:themeColor="text1"/>
          <w:sz w:val="22"/>
        </w:rPr>
        <w:t>4</w:t>
      </w:r>
      <w:r w:rsidR="00FD1401" w:rsidRPr="00647F4C">
        <w:rPr>
          <w:rFonts w:ascii="Arial" w:hAnsi="Arial" w:cs="Arial"/>
          <w:color w:val="000000" w:themeColor="text1"/>
          <w:sz w:val="22"/>
        </w:rPr>
        <w:t> </w:t>
      </w:r>
      <w:r w:rsidR="00C4262F" w:rsidRPr="00647F4C">
        <w:rPr>
          <w:rFonts w:ascii="Arial" w:hAnsi="Arial" w:cs="Arial"/>
          <w:color w:val="000000" w:themeColor="text1"/>
          <w:sz w:val="22"/>
        </w:rPr>
        <w:t>µg/day</w:t>
      </w:r>
      <w:proofErr w:type="gramEnd"/>
      <w:r w:rsidR="004B05C0" w:rsidRPr="00647F4C">
        <w:rPr>
          <w:rFonts w:ascii="Arial" w:hAnsi="Arial" w:cs="Arial"/>
          <w:color w:val="000000" w:themeColor="text1"/>
          <w:sz w:val="22"/>
        </w:rPr>
        <w:t xml:space="preserve"> </w:t>
      </w:r>
      <w:r w:rsidR="00C4262F" w:rsidRPr="00647F4C">
        <w:rPr>
          <w:rFonts w:ascii="Arial" w:hAnsi="Arial" w:cs="Arial"/>
          <w:color w:val="000000" w:themeColor="text1"/>
          <w:sz w:val="22"/>
        </w:rPr>
        <w:t>(</w:t>
      </w:r>
      <w:r w:rsidR="004B05C0" w:rsidRPr="00647F4C">
        <w:rPr>
          <w:rFonts w:ascii="Arial" w:hAnsi="Arial" w:cs="Arial"/>
          <w:color w:val="000000" w:themeColor="text1"/>
          <w:sz w:val="22"/>
        </w:rPr>
        <w:t>a</w:t>
      </w:r>
      <w:r w:rsidR="00D7607C" w:rsidRPr="00647F4C">
        <w:rPr>
          <w:rFonts w:ascii="Arial" w:hAnsi="Arial" w:cs="Arial"/>
          <w:color w:val="000000" w:themeColor="text1"/>
          <w:sz w:val="22"/>
        </w:rPr>
        <w:t xml:space="preserve"> </w:t>
      </w:r>
      <w:r w:rsidR="00C4262F" w:rsidRPr="00647F4C">
        <w:rPr>
          <w:rFonts w:ascii="Arial" w:hAnsi="Arial" w:cs="Arial"/>
          <w:color w:val="000000" w:themeColor="text1"/>
          <w:sz w:val="22"/>
        </w:rPr>
        <w:t>5</w:t>
      </w:r>
      <w:r w:rsidR="00C11E4E" w:rsidRPr="00647F4C">
        <w:rPr>
          <w:rFonts w:ascii="Arial" w:hAnsi="Arial" w:cs="Arial"/>
          <w:color w:val="000000" w:themeColor="text1"/>
          <w:sz w:val="22"/>
        </w:rPr>
        <w:t>5</w:t>
      </w:r>
      <w:r w:rsidR="00C4262F" w:rsidRPr="00647F4C">
        <w:rPr>
          <w:rFonts w:ascii="Arial" w:hAnsi="Arial" w:cs="Arial"/>
          <w:color w:val="000000" w:themeColor="text1"/>
          <w:sz w:val="22"/>
        </w:rPr>
        <w:t>% increase)</w:t>
      </w:r>
      <w:r w:rsidR="004B05C0" w:rsidRPr="00647F4C">
        <w:rPr>
          <w:rFonts w:ascii="Arial" w:hAnsi="Arial" w:cs="Arial"/>
          <w:color w:val="000000" w:themeColor="text1"/>
          <w:sz w:val="22"/>
        </w:rPr>
        <w:t xml:space="preserve">. </w:t>
      </w:r>
      <w:r w:rsidR="00337186" w:rsidRPr="00647F4C">
        <w:rPr>
          <w:rFonts w:ascii="Arial" w:hAnsi="Arial" w:cs="Arial"/>
          <w:color w:val="000000" w:themeColor="text1"/>
          <w:sz w:val="22"/>
        </w:rPr>
        <w:t>The estimated increase for young men in the same age group was 80</w:t>
      </w:r>
      <w:r w:rsidR="00FD1401" w:rsidRPr="00647F4C">
        <w:rPr>
          <w:rFonts w:ascii="Arial" w:hAnsi="Arial" w:cs="Arial"/>
          <w:color w:val="000000" w:themeColor="text1"/>
          <w:sz w:val="22"/>
        </w:rPr>
        <w:t> </w:t>
      </w:r>
      <w:r w:rsidR="00337186" w:rsidRPr="00647F4C">
        <w:rPr>
          <w:rFonts w:ascii="Arial" w:hAnsi="Arial" w:cs="Arial"/>
          <w:color w:val="000000" w:themeColor="text1"/>
          <w:sz w:val="22"/>
        </w:rPr>
        <w:t>µg/day</w:t>
      </w:r>
      <w:r w:rsidR="00D7607C" w:rsidRPr="00647F4C">
        <w:rPr>
          <w:rFonts w:ascii="Arial" w:hAnsi="Arial" w:cs="Arial"/>
          <w:color w:val="000000" w:themeColor="text1"/>
          <w:sz w:val="22"/>
        </w:rPr>
        <w:t xml:space="preserve"> (a 59% increase)</w:t>
      </w:r>
      <w:r w:rsidR="00337186" w:rsidRPr="00647F4C">
        <w:rPr>
          <w:rFonts w:ascii="Arial" w:hAnsi="Arial" w:cs="Arial"/>
          <w:color w:val="000000" w:themeColor="text1"/>
          <w:sz w:val="22"/>
        </w:rPr>
        <w:t>, compared to</w:t>
      </w:r>
      <w:r w:rsidR="00FD1401" w:rsidRPr="00647F4C">
        <w:rPr>
          <w:rFonts w:ascii="Arial" w:hAnsi="Arial" w:cs="Arial"/>
          <w:color w:val="000000" w:themeColor="text1"/>
          <w:sz w:val="22"/>
        </w:rPr>
        <w:t xml:space="preserve"> 50 </w:t>
      </w:r>
      <w:r w:rsidR="00337186" w:rsidRPr="00647F4C">
        <w:rPr>
          <w:rFonts w:ascii="Arial" w:hAnsi="Arial" w:cs="Arial"/>
          <w:color w:val="000000" w:themeColor="text1"/>
          <w:sz w:val="22"/>
        </w:rPr>
        <w:t xml:space="preserve">µg/day for </w:t>
      </w:r>
      <w:r w:rsidR="00A9469B" w:rsidRPr="00647F4C">
        <w:rPr>
          <w:rFonts w:ascii="Arial" w:hAnsi="Arial" w:cs="Arial"/>
          <w:color w:val="000000" w:themeColor="text1"/>
          <w:sz w:val="22"/>
        </w:rPr>
        <w:t>women</w:t>
      </w:r>
      <w:r w:rsidR="00D7607C" w:rsidRPr="00647F4C">
        <w:rPr>
          <w:rFonts w:ascii="Arial" w:hAnsi="Arial" w:cs="Arial"/>
          <w:color w:val="000000" w:themeColor="text1"/>
          <w:sz w:val="22"/>
        </w:rPr>
        <w:t xml:space="preserve">, </w:t>
      </w:r>
      <w:r w:rsidR="00C4262F" w:rsidRPr="00647F4C">
        <w:rPr>
          <w:rFonts w:ascii="Arial" w:hAnsi="Arial" w:cs="Arial"/>
          <w:color w:val="000000" w:themeColor="text1"/>
          <w:sz w:val="22"/>
        </w:rPr>
        <w:t>(</w:t>
      </w:r>
      <w:r w:rsidR="00D7607C" w:rsidRPr="00647F4C">
        <w:rPr>
          <w:rFonts w:ascii="Arial" w:hAnsi="Arial" w:cs="Arial"/>
          <w:color w:val="000000" w:themeColor="text1"/>
          <w:sz w:val="22"/>
        </w:rPr>
        <w:t>a 5</w:t>
      </w:r>
      <w:r w:rsidR="00DC2DF6" w:rsidRPr="00647F4C">
        <w:rPr>
          <w:rFonts w:ascii="Arial" w:hAnsi="Arial" w:cs="Arial"/>
          <w:color w:val="000000" w:themeColor="text1"/>
          <w:sz w:val="22"/>
        </w:rPr>
        <w:t>1</w:t>
      </w:r>
      <w:r w:rsidR="00D7607C" w:rsidRPr="00647F4C">
        <w:rPr>
          <w:rFonts w:ascii="Arial" w:hAnsi="Arial" w:cs="Arial"/>
          <w:color w:val="000000" w:themeColor="text1"/>
          <w:sz w:val="22"/>
        </w:rPr>
        <w:t>% increase</w:t>
      </w:r>
      <w:r w:rsidR="00C4262F" w:rsidRPr="00647F4C">
        <w:rPr>
          <w:rFonts w:ascii="Arial" w:hAnsi="Arial" w:cs="Arial"/>
          <w:color w:val="000000" w:themeColor="text1"/>
          <w:sz w:val="22"/>
        </w:rPr>
        <w:t>)</w:t>
      </w:r>
      <w:r w:rsidR="00337186" w:rsidRPr="00647F4C">
        <w:rPr>
          <w:rFonts w:ascii="Arial" w:hAnsi="Arial" w:cs="Arial"/>
          <w:color w:val="000000" w:themeColor="text1"/>
          <w:sz w:val="22"/>
        </w:rPr>
        <w:t xml:space="preserve">.     </w:t>
      </w:r>
      <w:r w:rsidR="004B05C0" w:rsidRPr="00647F4C">
        <w:rPr>
          <w:rFonts w:ascii="Arial" w:hAnsi="Arial" w:cs="Arial"/>
          <w:color w:val="000000" w:themeColor="text1"/>
          <w:sz w:val="22"/>
        </w:rPr>
        <w:t xml:space="preserve"> </w:t>
      </w:r>
    </w:p>
    <w:p w14:paraId="5D7349B2" w14:textId="3D82E2CD" w:rsidR="004B05C0" w:rsidRPr="00647F4C" w:rsidRDefault="00C11E4E" w:rsidP="003C10CD">
      <w:pPr>
        <w:pStyle w:val="ListParagraph"/>
        <w:numPr>
          <w:ilvl w:val="0"/>
          <w:numId w:val="20"/>
        </w:numPr>
        <w:tabs>
          <w:tab w:val="clear" w:pos="567"/>
        </w:tabs>
        <w:ind w:left="630" w:hanging="630"/>
        <w:contextualSpacing w:val="0"/>
        <w:rPr>
          <w:rFonts w:ascii="Arial" w:hAnsi="Arial" w:cs="Arial"/>
          <w:color w:val="000000" w:themeColor="text1"/>
          <w:sz w:val="22"/>
        </w:rPr>
      </w:pPr>
      <w:r w:rsidRPr="00647F4C">
        <w:rPr>
          <w:rFonts w:ascii="Arial" w:hAnsi="Arial" w:cs="Arial"/>
          <w:color w:val="000000" w:themeColor="text1"/>
          <w:sz w:val="22"/>
        </w:rPr>
        <w:t>Adults</w:t>
      </w:r>
      <w:r w:rsidR="004B05C0" w:rsidRPr="00647F4C">
        <w:rPr>
          <w:rFonts w:ascii="Arial" w:hAnsi="Arial" w:cs="Arial"/>
          <w:color w:val="000000" w:themeColor="text1"/>
          <w:sz w:val="22"/>
        </w:rPr>
        <w:t xml:space="preserve"> aged 50 to 6</w:t>
      </w:r>
      <w:r w:rsidR="00337186" w:rsidRPr="00647F4C">
        <w:rPr>
          <w:rFonts w:ascii="Arial" w:hAnsi="Arial" w:cs="Arial"/>
          <w:color w:val="000000" w:themeColor="text1"/>
          <w:sz w:val="22"/>
        </w:rPr>
        <w:t>9</w:t>
      </w:r>
      <w:r w:rsidR="004B05C0" w:rsidRPr="00647F4C">
        <w:rPr>
          <w:rFonts w:ascii="Arial" w:hAnsi="Arial" w:cs="Arial"/>
          <w:color w:val="000000" w:themeColor="text1"/>
          <w:sz w:val="22"/>
        </w:rPr>
        <w:t xml:space="preserve"> years had an average increase </w:t>
      </w:r>
      <w:proofErr w:type="gramStart"/>
      <w:r w:rsidR="004B05C0" w:rsidRPr="00647F4C">
        <w:rPr>
          <w:rFonts w:ascii="Arial" w:hAnsi="Arial" w:cs="Arial"/>
          <w:color w:val="000000" w:themeColor="text1"/>
          <w:sz w:val="22"/>
        </w:rPr>
        <w:t xml:space="preserve">of </w:t>
      </w:r>
      <w:r w:rsidR="00337186" w:rsidRPr="00647F4C">
        <w:rPr>
          <w:rFonts w:ascii="Arial" w:hAnsi="Arial" w:cs="Arial"/>
          <w:color w:val="000000" w:themeColor="text1"/>
          <w:sz w:val="22"/>
        </w:rPr>
        <w:t>59</w:t>
      </w:r>
      <w:r w:rsidR="00C4262F" w:rsidRPr="00647F4C">
        <w:rPr>
          <w:rFonts w:ascii="Arial" w:hAnsi="Arial" w:cs="Arial"/>
          <w:color w:val="000000" w:themeColor="text1"/>
          <w:sz w:val="22"/>
        </w:rPr>
        <w:t xml:space="preserve"> µg/day</w:t>
      </w:r>
      <w:proofErr w:type="gramEnd"/>
      <w:r w:rsidR="00C4262F" w:rsidRPr="00647F4C">
        <w:rPr>
          <w:rFonts w:ascii="Arial" w:hAnsi="Arial" w:cs="Arial"/>
          <w:color w:val="000000" w:themeColor="text1"/>
          <w:sz w:val="22"/>
        </w:rPr>
        <w:t xml:space="preserve"> (</w:t>
      </w:r>
      <w:r w:rsidR="004B05C0" w:rsidRPr="00647F4C">
        <w:rPr>
          <w:rFonts w:ascii="Arial" w:hAnsi="Arial" w:cs="Arial"/>
          <w:color w:val="000000" w:themeColor="text1"/>
          <w:sz w:val="22"/>
        </w:rPr>
        <w:t>a 5</w:t>
      </w:r>
      <w:r w:rsidR="00337186" w:rsidRPr="00647F4C">
        <w:rPr>
          <w:rFonts w:ascii="Arial" w:hAnsi="Arial" w:cs="Arial"/>
          <w:color w:val="000000" w:themeColor="text1"/>
          <w:sz w:val="22"/>
        </w:rPr>
        <w:t>7</w:t>
      </w:r>
      <w:r w:rsidR="004B05C0" w:rsidRPr="00647F4C">
        <w:rPr>
          <w:rFonts w:ascii="Arial" w:hAnsi="Arial" w:cs="Arial"/>
          <w:color w:val="000000" w:themeColor="text1"/>
          <w:sz w:val="22"/>
        </w:rPr>
        <w:t>% increase</w:t>
      </w:r>
      <w:r w:rsidR="00C4262F" w:rsidRPr="00647F4C">
        <w:rPr>
          <w:rFonts w:ascii="Arial" w:hAnsi="Arial" w:cs="Arial"/>
          <w:color w:val="000000" w:themeColor="text1"/>
          <w:sz w:val="22"/>
        </w:rPr>
        <w:t>)</w:t>
      </w:r>
      <w:r w:rsidR="004B05C0" w:rsidRPr="00647F4C">
        <w:rPr>
          <w:rFonts w:ascii="Arial" w:hAnsi="Arial" w:cs="Arial"/>
          <w:color w:val="000000" w:themeColor="text1"/>
          <w:sz w:val="22"/>
        </w:rPr>
        <w:t>.</w:t>
      </w:r>
      <w:r w:rsidR="00337186" w:rsidRPr="00647F4C">
        <w:rPr>
          <w:rFonts w:ascii="Arial" w:hAnsi="Arial" w:cs="Arial"/>
          <w:color w:val="000000" w:themeColor="text1"/>
          <w:sz w:val="22"/>
        </w:rPr>
        <w:t xml:space="preserve"> Men </w:t>
      </w:r>
      <w:r w:rsidRPr="00647F4C">
        <w:rPr>
          <w:rFonts w:ascii="Arial" w:hAnsi="Arial" w:cs="Arial"/>
          <w:color w:val="000000" w:themeColor="text1"/>
          <w:sz w:val="22"/>
        </w:rPr>
        <w:t>in</w:t>
      </w:r>
      <w:r w:rsidR="00337186" w:rsidRPr="00647F4C">
        <w:rPr>
          <w:rFonts w:ascii="Arial" w:hAnsi="Arial" w:cs="Arial"/>
          <w:color w:val="000000" w:themeColor="text1"/>
          <w:sz w:val="22"/>
        </w:rPr>
        <w:t xml:space="preserve"> that age group had an increase of 69 µg/day</w:t>
      </w:r>
      <w:r w:rsidR="00D7607C" w:rsidRPr="00647F4C">
        <w:rPr>
          <w:rFonts w:ascii="Arial" w:hAnsi="Arial" w:cs="Arial"/>
          <w:color w:val="000000" w:themeColor="text1"/>
          <w:sz w:val="22"/>
        </w:rPr>
        <w:t xml:space="preserve"> (a </w:t>
      </w:r>
      <w:r w:rsidRPr="00647F4C">
        <w:rPr>
          <w:rFonts w:ascii="Arial" w:hAnsi="Arial" w:cs="Arial"/>
          <w:color w:val="000000" w:themeColor="text1"/>
          <w:sz w:val="22"/>
        </w:rPr>
        <w:t>61</w:t>
      </w:r>
      <w:r w:rsidR="00C4262F" w:rsidRPr="00647F4C">
        <w:rPr>
          <w:rFonts w:ascii="Arial" w:hAnsi="Arial" w:cs="Arial"/>
          <w:color w:val="000000" w:themeColor="text1"/>
          <w:sz w:val="22"/>
        </w:rPr>
        <w:t>% increase</w:t>
      </w:r>
      <w:r w:rsidR="00D7607C" w:rsidRPr="00647F4C">
        <w:rPr>
          <w:rFonts w:ascii="Arial" w:hAnsi="Arial" w:cs="Arial"/>
          <w:color w:val="000000" w:themeColor="text1"/>
          <w:sz w:val="22"/>
        </w:rPr>
        <w:t>)</w:t>
      </w:r>
      <w:r w:rsidR="00B97E24" w:rsidRPr="00647F4C">
        <w:rPr>
          <w:rFonts w:ascii="Arial" w:hAnsi="Arial" w:cs="Arial"/>
          <w:color w:val="000000" w:themeColor="text1"/>
          <w:sz w:val="22"/>
        </w:rPr>
        <w:t>,</w:t>
      </w:r>
      <w:r w:rsidR="00D7607C" w:rsidRPr="00647F4C">
        <w:rPr>
          <w:rFonts w:ascii="Arial" w:hAnsi="Arial" w:cs="Arial"/>
          <w:color w:val="000000" w:themeColor="text1"/>
          <w:sz w:val="22"/>
        </w:rPr>
        <w:t xml:space="preserve"> </w:t>
      </w:r>
      <w:r w:rsidR="00FD1401" w:rsidRPr="00647F4C">
        <w:rPr>
          <w:rFonts w:ascii="Arial" w:hAnsi="Arial" w:cs="Arial"/>
          <w:color w:val="000000" w:themeColor="text1"/>
          <w:sz w:val="22"/>
        </w:rPr>
        <w:t>compared to 49 </w:t>
      </w:r>
      <w:r w:rsidR="00B97E24" w:rsidRPr="00647F4C">
        <w:rPr>
          <w:rFonts w:ascii="Arial" w:hAnsi="Arial" w:cs="Arial"/>
          <w:color w:val="000000" w:themeColor="text1"/>
          <w:sz w:val="22"/>
        </w:rPr>
        <w:t>µg/day for women</w:t>
      </w:r>
      <w:r w:rsidRPr="00647F4C">
        <w:rPr>
          <w:rFonts w:ascii="Arial" w:hAnsi="Arial" w:cs="Arial"/>
          <w:color w:val="000000" w:themeColor="text1"/>
          <w:sz w:val="22"/>
        </w:rPr>
        <w:t xml:space="preserve"> (a</w:t>
      </w:r>
      <w:r w:rsidR="00D7607C" w:rsidRPr="00647F4C">
        <w:rPr>
          <w:rFonts w:ascii="Arial" w:hAnsi="Arial" w:cs="Arial"/>
          <w:color w:val="000000" w:themeColor="text1"/>
          <w:sz w:val="22"/>
        </w:rPr>
        <w:t xml:space="preserve"> </w:t>
      </w:r>
      <w:r w:rsidRPr="00647F4C">
        <w:rPr>
          <w:rFonts w:ascii="Arial" w:hAnsi="Arial" w:cs="Arial"/>
          <w:color w:val="000000" w:themeColor="text1"/>
          <w:sz w:val="22"/>
        </w:rPr>
        <w:t>52% increase</w:t>
      </w:r>
      <w:r w:rsidR="00D7607C" w:rsidRPr="00647F4C">
        <w:rPr>
          <w:rFonts w:ascii="Arial" w:hAnsi="Arial" w:cs="Arial"/>
          <w:color w:val="000000" w:themeColor="text1"/>
          <w:sz w:val="22"/>
        </w:rPr>
        <w:t>)</w:t>
      </w:r>
      <w:r w:rsidR="00B97E24" w:rsidRPr="00647F4C">
        <w:rPr>
          <w:rFonts w:ascii="Arial" w:hAnsi="Arial" w:cs="Arial"/>
          <w:color w:val="000000" w:themeColor="text1"/>
          <w:sz w:val="22"/>
        </w:rPr>
        <w:t>.</w:t>
      </w:r>
    </w:p>
    <w:p w14:paraId="5D7349B3" w14:textId="6143A019" w:rsidR="00AC3A70" w:rsidRPr="00647F4C" w:rsidRDefault="00C11E4E" w:rsidP="003C10CD">
      <w:pPr>
        <w:pStyle w:val="ListParagraph"/>
        <w:numPr>
          <w:ilvl w:val="0"/>
          <w:numId w:val="20"/>
        </w:numPr>
        <w:tabs>
          <w:tab w:val="clear" w:pos="567"/>
        </w:tabs>
        <w:ind w:left="630" w:hanging="630"/>
        <w:contextualSpacing w:val="0"/>
        <w:rPr>
          <w:rFonts w:ascii="Arial" w:hAnsi="Arial" w:cs="Arial"/>
          <w:color w:val="000000" w:themeColor="text1"/>
          <w:sz w:val="22"/>
        </w:rPr>
      </w:pPr>
      <w:r w:rsidRPr="00647F4C">
        <w:rPr>
          <w:rFonts w:ascii="Arial" w:hAnsi="Arial" w:cs="Arial"/>
          <w:color w:val="000000" w:themeColor="text1"/>
          <w:sz w:val="22"/>
        </w:rPr>
        <w:t>A</w:t>
      </w:r>
      <w:r w:rsidR="004B05C0" w:rsidRPr="00647F4C">
        <w:rPr>
          <w:rFonts w:ascii="Arial" w:hAnsi="Arial" w:cs="Arial"/>
          <w:color w:val="000000" w:themeColor="text1"/>
          <w:sz w:val="22"/>
        </w:rPr>
        <w:t>dults aged 70 years and above had an</w:t>
      </w:r>
      <w:r w:rsidRPr="00647F4C">
        <w:rPr>
          <w:rFonts w:ascii="Arial" w:hAnsi="Arial" w:cs="Arial"/>
          <w:color w:val="000000" w:themeColor="text1"/>
          <w:sz w:val="22"/>
        </w:rPr>
        <w:t xml:space="preserve"> average</w:t>
      </w:r>
      <w:r w:rsidR="004B05C0" w:rsidRPr="00647F4C">
        <w:rPr>
          <w:rFonts w:ascii="Arial" w:hAnsi="Arial" w:cs="Arial"/>
          <w:color w:val="000000" w:themeColor="text1"/>
          <w:sz w:val="22"/>
        </w:rPr>
        <w:t xml:space="preserve"> increase </w:t>
      </w:r>
      <w:proofErr w:type="gramStart"/>
      <w:r w:rsidR="004B05C0" w:rsidRPr="00647F4C">
        <w:rPr>
          <w:rFonts w:ascii="Arial" w:hAnsi="Arial" w:cs="Arial"/>
          <w:color w:val="000000" w:themeColor="text1"/>
          <w:sz w:val="22"/>
        </w:rPr>
        <w:t>of 5</w:t>
      </w:r>
      <w:r w:rsidR="00A9469B" w:rsidRPr="00647F4C">
        <w:rPr>
          <w:rFonts w:ascii="Arial" w:hAnsi="Arial" w:cs="Arial"/>
          <w:color w:val="000000" w:themeColor="text1"/>
          <w:sz w:val="22"/>
        </w:rPr>
        <w:t>6</w:t>
      </w:r>
      <w:r w:rsidR="00C4262F" w:rsidRPr="00647F4C">
        <w:rPr>
          <w:rFonts w:ascii="Arial" w:hAnsi="Arial" w:cs="Arial"/>
          <w:color w:val="000000" w:themeColor="text1"/>
          <w:sz w:val="22"/>
        </w:rPr>
        <w:t xml:space="preserve"> µg/day</w:t>
      </w:r>
      <w:proofErr w:type="gramEnd"/>
      <w:r w:rsidR="00C4262F" w:rsidRPr="00647F4C">
        <w:rPr>
          <w:rFonts w:ascii="Arial" w:hAnsi="Arial" w:cs="Arial"/>
          <w:color w:val="000000" w:themeColor="text1"/>
          <w:sz w:val="22"/>
        </w:rPr>
        <w:t xml:space="preserve"> (</w:t>
      </w:r>
      <w:r w:rsidR="004B05C0" w:rsidRPr="00647F4C">
        <w:rPr>
          <w:rFonts w:ascii="Arial" w:hAnsi="Arial" w:cs="Arial"/>
          <w:color w:val="000000" w:themeColor="text1"/>
          <w:sz w:val="22"/>
        </w:rPr>
        <w:t xml:space="preserve">a </w:t>
      </w:r>
      <w:r w:rsidR="00A9469B" w:rsidRPr="00647F4C">
        <w:rPr>
          <w:rFonts w:ascii="Arial" w:hAnsi="Arial" w:cs="Arial"/>
          <w:color w:val="000000" w:themeColor="text1"/>
          <w:sz w:val="22"/>
        </w:rPr>
        <w:t>59</w:t>
      </w:r>
      <w:r w:rsidR="004B05C0" w:rsidRPr="00647F4C">
        <w:rPr>
          <w:rFonts w:ascii="Arial" w:hAnsi="Arial" w:cs="Arial"/>
          <w:color w:val="000000" w:themeColor="text1"/>
          <w:sz w:val="22"/>
        </w:rPr>
        <w:t>% increase</w:t>
      </w:r>
      <w:r w:rsidR="00C4262F" w:rsidRPr="00647F4C">
        <w:rPr>
          <w:rFonts w:ascii="Arial" w:hAnsi="Arial" w:cs="Arial"/>
          <w:color w:val="000000" w:themeColor="text1"/>
          <w:sz w:val="22"/>
        </w:rPr>
        <w:t>)</w:t>
      </w:r>
      <w:r w:rsidR="004B05C0" w:rsidRPr="00647F4C">
        <w:rPr>
          <w:rFonts w:ascii="Arial" w:hAnsi="Arial" w:cs="Arial"/>
          <w:color w:val="000000" w:themeColor="text1"/>
          <w:sz w:val="22"/>
        </w:rPr>
        <w:t xml:space="preserve">. </w:t>
      </w:r>
      <w:r w:rsidR="00A9469B" w:rsidRPr="00647F4C">
        <w:rPr>
          <w:rFonts w:ascii="Arial" w:hAnsi="Arial" w:cs="Arial"/>
          <w:color w:val="000000" w:themeColor="text1"/>
          <w:sz w:val="22"/>
        </w:rPr>
        <w:t>Men in that age group had an increase of 64 µg/day</w:t>
      </w:r>
      <w:r w:rsidR="00D7607C" w:rsidRPr="00647F4C">
        <w:rPr>
          <w:rFonts w:ascii="Arial" w:hAnsi="Arial" w:cs="Arial"/>
          <w:color w:val="000000" w:themeColor="text1"/>
          <w:sz w:val="22"/>
        </w:rPr>
        <w:t xml:space="preserve"> (a 63% increase)</w:t>
      </w:r>
      <w:r w:rsidR="00A9469B" w:rsidRPr="00647F4C">
        <w:rPr>
          <w:rFonts w:ascii="Arial" w:hAnsi="Arial" w:cs="Arial"/>
          <w:color w:val="000000" w:themeColor="text1"/>
          <w:sz w:val="22"/>
        </w:rPr>
        <w:t xml:space="preserve"> </w:t>
      </w:r>
      <w:r w:rsidRPr="00647F4C">
        <w:rPr>
          <w:rFonts w:ascii="Arial" w:hAnsi="Arial" w:cs="Arial"/>
          <w:color w:val="000000" w:themeColor="text1"/>
          <w:sz w:val="22"/>
        </w:rPr>
        <w:t>compared to</w:t>
      </w:r>
      <w:r w:rsidR="00A9469B" w:rsidRPr="00647F4C">
        <w:rPr>
          <w:rFonts w:ascii="Arial" w:hAnsi="Arial" w:cs="Arial"/>
          <w:color w:val="000000" w:themeColor="text1"/>
          <w:sz w:val="22"/>
        </w:rPr>
        <w:t xml:space="preserve"> </w:t>
      </w:r>
      <w:r w:rsidRPr="00647F4C">
        <w:rPr>
          <w:rFonts w:ascii="Arial" w:hAnsi="Arial" w:cs="Arial"/>
          <w:color w:val="000000" w:themeColor="text1"/>
          <w:sz w:val="22"/>
        </w:rPr>
        <w:t xml:space="preserve">49 µg/day for </w:t>
      </w:r>
      <w:r w:rsidR="00A9469B" w:rsidRPr="00647F4C">
        <w:rPr>
          <w:rFonts w:ascii="Arial" w:hAnsi="Arial" w:cs="Arial"/>
          <w:color w:val="000000" w:themeColor="text1"/>
          <w:sz w:val="22"/>
        </w:rPr>
        <w:t xml:space="preserve">women </w:t>
      </w:r>
      <w:r w:rsidR="00D7607C" w:rsidRPr="00647F4C">
        <w:rPr>
          <w:rFonts w:ascii="Arial" w:hAnsi="Arial" w:cs="Arial"/>
          <w:color w:val="000000" w:themeColor="text1"/>
          <w:sz w:val="22"/>
        </w:rPr>
        <w:t>(a 5</w:t>
      </w:r>
      <w:r w:rsidRPr="00647F4C">
        <w:rPr>
          <w:rFonts w:ascii="Arial" w:hAnsi="Arial" w:cs="Arial"/>
          <w:color w:val="000000" w:themeColor="text1"/>
          <w:sz w:val="22"/>
        </w:rPr>
        <w:t>6</w:t>
      </w:r>
      <w:r w:rsidR="00D7607C" w:rsidRPr="00647F4C">
        <w:rPr>
          <w:rFonts w:ascii="Arial" w:hAnsi="Arial" w:cs="Arial"/>
          <w:color w:val="000000" w:themeColor="text1"/>
          <w:sz w:val="22"/>
        </w:rPr>
        <w:t>% increase)</w:t>
      </w:r>
      <w:r w:rsidR="00A9469B" w:rsidRPr="00647F4C">
        <w:rPr>
          <w:rFonts w:ascii="Arial" w:hAnsi="Arial" w:cs="Arial"/>
          <w:color w:val="000000" w:themeColor="text1"/>
          <w:sz w:val="22"/>
        </w:rPr>
        <w:t>.</w:t>
      </w:r>
    </w:p>
    <w:p w14:paraId="5D7349B4" w14:textId="77777777" w:rsidR="004B05C0" w:rsidRPr="000A13C3" w:rsidRDefault="004B05C0" w:rsidP="00CC5193">
      <w:pPr>
        <w:tabs>
          <w:tab w:val="clear" w:pos="567"/>
        </w:tabs>
        <w:rPr>
          <w:rFonts w:ascii="Arial" w:hAnsi="Arial" w:cs="Arial"/>
          <w:sz w:val="22"/>
          <w:lang w:val="en-US"/>
        </w:rPr>
      </w:pPr>
      <w:r w:rsidRPr="000A13C3">
        <w:rPr>
          <w:rFonts w:ascii="Arial" w:hAnsi="Arial" w:cs="Arial"/>
          <w:sz w:val="22"/>
        </w:rPr>
        <w:t xml:space="preserve">The estimates clearly </w:t>
      </w:r>
      <w:r w:rsidR="00C4262F">
        <w:rPr>
          <w:rFonts w:ascii="Arial" w:hAnsi="Arial" w:cs="Arial"/>
          <w:sz w:val="22"/>
        </w:rPr>
        <w:t>indicate</w:t>
      </w:r>
      <w:r w:rsidR="00925FD5" w:rsidRPr="000A13C3">
        <w:rPr>
          <w:rFonts w:ascii="Arial" w:hAnsi="Arial" w:cs="Arial"/>
          <w:sz w:val="22"/>
        </w:rPr>
        <w:t xml:space="preserve"> </w:t>
      </w:r>
      <w:r w:rsidRPr="000A13C3">
        <w:rPr>
          <w:rFonts w:ascii="Arial" w:hAnsi="Arial" w:cs="Arial"/>
          <w:sz w:val="22"/>
        </w:rPr>
        <w:t xml:space="preserve">that following mandatory fortification of bread with iodine, the </w:t>
      </w:r>
      <w:r w:rsidR="00925FD5">
        <w:rPr>
          <w:rFonts w:ascii="Arial" w:hAnsi="Arial" w:cs="Arial"/>
          <w:sz w:val="22"/>
        </w:rPr>
        <w:t xml:space="preserve">estimated </w:t>
      </w:r>
      <w:r w:rsidRPr="000A13C3">
        <w:rPr>
          <w:rFonts w:ascii="Arial" w:hAnsi="Arial" w:cs="Arial"/>
          <w:sz w:val="22"/>
        </w:rPr>
        <w:t xml:space="preserve">mean dietary </w:t>
      </w:r>
      <w:r w:rsidR="000A7DE0">
        <w:rPr>
          <w:rFonts w:ascii="Arial" w:hAnsi="Arial" w:cs="Arial"/>
          <w:sz w:val="22"/>
        </w:rPr>
        <w:t xml:space="preserve">usual </w:t>
      </w:r>
      <w:r w:rsidRPr="000A13C3">
        <w:rPr>
          <w:rFonts w:ascii="Arial" w:hAnsi="Arial" w:cs="Arial"/>
          <w:sz w:val="22"/>
        </w:rPr>
        <w:t xml:space="preserve">iodine intakes of </w:t>
      </w:r>
      <w:r w:rsidR="002C44D9">
        <w:rPr>
          <w:rFonts w:ascii="Arial" w:hAnsi="Arial" w:cs="Arial"/>
          <w:sz w:val="22"/>
        </w:rPr>
        <w:t xml:space="preserve">all </w:t>
      </w:r>
      <w:r w:rsidRPr="000A13C3">
        <w:rPr>
          <w:rFonts w:ascii="Arial" w:hAnsi="Arial" w:cs="Arial"/>
          <w:sz w:val="22"/>
        </w:rPr>
        <w:t>Australians, including th</w:t>
      </w:r>
      <w:r w:rsidR="00353DFB">
        <w:rPr>
          <w:rFonts w:ascii="Arial" w:hAnsi="Arial" w:cs="Arial"/>
          <w:sz w:val="22"/>
        </w:rPr>
        <w:t>e target groups, had</w:t>
      </w:r>
      <w:r w:rsidRPr="000A13C3">
        <w:rPr>
          <w:rFonts w:ascii="Arial" w:hAnsi="Arial" w:cs="Arial"/>
          <w:sz w:val="22"/>
        </w:rPr>
        <w:t xml:space="preserve"> increased considerably (</w:t>
      </w:r>
      <w:r w:rsidRPr="00353DFB">
        <w:rPr>
          <w:rFonts w:ascii="Arial" w:hAnsi="Arial" w:cs="Arial"/>
          <w:color w:val="000000" w:themeColor="text1"/>
          <w:sz w:val="22"/>
        </w:rPr>
        <w:t>Figure</w:t>
      </w:r>
      <w:r w:rsidR="00865080">
        <w:rPr>
          <w:rFonts w:ascii="Arial" w:hAnsi="Arial" w:cs="Arial"/>
          <w:color w:val="000000" w:themeColor="text1"/>
          <w:sz w:val="22"/>
        </w:rPr>
        <w:t>s 2 and</w:t>
      </w:r>
      <w:r w:rsidRPr="00353DFB">
        <w:rPr>
          <w:rFonts w:ascii="Arial" w:hAnsi="Arial" w:cs="Arial"/>
          <w:color w:val="000000" w:themeColor="text1"/>
          <w:sz w:val="22"/>
        </w:rPr>
        <w:t xml:space="preserve"> </w:t>
      </w:r>
      <w:r w:rsidR="00131B9F" w:rsidRPr="00353DFB">
        <w:rPr>
          <w:rFonts w:ascii="Arial" w:hAnsi="Arial" w:cs="Arial"/>
          <w:color w:val="000000" w:themeColor="text1"/>
          <w:sz w:val="22"/>
        </w:rPr>
        <w:t>3</w:t>
      </w:r>
      <w:r w:rsidRPr="000A13C3">
        <w:rPr>
          <w:rFonts w:ascii="Arial" w:hAnsi="Arial" w:cs="Arial"/>
          <w:sz w:val="22"/>
        </w:rPr>
        <w:t>). The amount of increase was as predicted</w:t>
      </w:r>
      <w:r w:rsidR="002C44D9">
        <w:rPr>
          <w:rFonts w:ascii="Arial" w:hAnsi="Arial" w:cs="Arial"/>
          <w:sz w:val="22"/>
        </w:rPr>
        <w:t>,</w:t>
      </w:r>
      <w:r w:rsidRPr="000A13C3">
        <w:rPr>
          <w:rFonts w:ascii="Arial" w:hAnsi="Arial" w:cs="Arial"/>
          <w:sz w:val="22"/>
        </w:rPr>
        <w:t xml:space="preserve"> for some groups and more than predicted for other groups of the population</w:t>
      </w:r>
      <w:r w:rsidR="002C44D9">
        <w:rPr>
          <w:rFonts w:ascii="Arial" w:hAnsi="Arial" w:cs="Arial"/>
          <w:sz w:val="22"/>
        </w:rPr>
        <w:t>,</w:t>
      </w:r>
      <w:r w:rsidRPr="000A13C3">
        <w:rPr>
          <w:rFonts w:ascii="Arial" w:hAnsi="Arial" w:cs="Arial"/>
          <w:sz w:val="22"/>
        </w:rPr>
        <w:t xml:space="preserve"> prior to implementation of the m</w:t>
      </w:r>
      <w:r w:rsidR="004257D2">
        <w:rPr>
          <w:rFonts w:ascii="Arial" w:hAnsi="Arial" w:cs="Arial"/>
          <w:sz w:val="22"/>
        </w:rPr>
        <w:t>andatory fortification standard</w:t>
      </w:r>
      <w:r w:rsidR="00925FD5">
        <w:rPr>
          <w:rFonts w:ascii="Arial" w:hAnsi="Arial" w:cs="Arial"/>
          <w:sz w:val="22"/>
        </w:rPr>
        <w:t xml:space="preserve"> (</w:t>
      </w:r>
      <w:r w:rsidR="0019322A" w:rsidRPr="00986A0F">
        <w:rPr>
          <w:rFonts w:ascii="Arial" w:hAnsi="Arial" w:cs="Arial"/>
          <w:sz w:val="22"/>
        </w:rPr>
        <w:t>FSANZ 2008</w:t>
      </w:r>
      <w:r w:rsidR="00925FD5">
        <w:rPr>
          <w:rFonts w:ascii="Arial" w:hAnsi="Arial" w:cs="Arial"/>
          <w:sz w:val="22"/>
        </w:rPr>
        <w:t>)</w:t>
      </w:r>
      <w:r w:rsidRPr="000A13C3">
        <w:rPr>
          <w:rFonts w:ascii="Arial" w:hAnsi="Arial" w:cs="Arial"/>
          <w:sz w:val="22"/>
        </w:rPr>
        <w:t xml:space="preserve">. </w:t>
      </w:r>
    </w:p>
    <w:p w14:paraId="5D7349B5" w14:textId="77777777" w:rsidR="000A13C3" w:rsidRPr="00E95C20" w:rsidRDefault="00EA62B1" w:rsidP="00D43F2C">
      <w:pPr>
        <w:pStyle w:val="Heading2"/>
      </w:pPr>
      <w:bookmarkStart w:id="28" w:name="_Toc430854511"/>
      <w:r>
        <w:t>6.3</w:t>
      </w:r>
      <w:r>
        <w:tab/>
        <w:t>Estimates of</w:t>
      </w:r>
      <w:r w:rsidR="002B7F75" w:rsidRPr="00E95C20">
        <w:t xml:space="preserve"> 5</w:t>
      </w:r>
      <w:r w:rsidR="002B7F75" w:rsidRPr="00E95C20">
        <w:rPr>
          <w:vertAlign w:val="superscript"/>
        </w:rPr>
        <w:t>th</w:t>
      </w:r>
      <w:r w:rsidR="002B7F75" w:rsidRPr="00E95C20">
        <w:t xml:space="preserve"> and 95</w:t>
      </w:r>
      <w:r w:rsidR="002B7F75" w:rsidRPr="00E95C20">
        <w:rPr>
          <w:vertAlign w:val="superscript"/>
        </w:rPr>
        <w:t>th</w:t>
      </w:r>
      <w:r w:rsidR="002B7F75" w:rsidRPr="00E95C20">
        <w:t xml:space="preserve"> percentile dietary </w:t>
      </w:r>
      <w:r w:rsidR="000A7DE0">
        <w:t xml:space="preserve">usual </w:t>
      </w:r>
      <w:r w:rsidR="002B7F75" w:rsidRPr="00E95C20">
        <w:t>iodine intakes</w:t>
      </w:r>
      <w:bookmarkEnd w:id="28"/>
    </w:p>
    <w:p w14:paraId="5D7349B6" w14:textId="77777777" w:rsidR="005D5C71" w:rsidRPr="005D5C71" w:rsidRDefault="005D5C71" w:rsidP="00CC5193">
      <w:pPr>
        <w:rPr>
          <w:rFonts w:ascii="Arial" w:hAnsi="Arial" w:cs="Arial"/>
          <w:sz w:val="22"/>
          <w:lang w:eastAsia="en-AU"/>
        </w:rPr>
      </w:pPr>
      <w:r w:rsidRPr="005D5C71">
        <w:rPr>
          <w:rFonts w:ascii="Arial" w:hAnsi="Arial" w:cs="Arial"/>
          <w:sz w:val="22"/>
          <w:lang w:eastAsia="en-AU"/>
        </w:rPr>
        <w:t xml:space="preserve">The estimated values </w:t>
      </w:r>
      <w:r>
        <w:rPr>
          <w:rFonts w:ascii="Arial" w:hAnsi="Arial" w:cs="Arial"/>
          <w:sz w:val="22"/>
          <w:lang w:eastAsia="en-AU"/>
        </w:rPr>
        <w:t>of</w:t>
      </w:r>
      <w:r w:rsidRPr="005D5C71">
        <w:rPr>
          <w:rFonts w:ascii="Arial" w:hAnsi="Arial" w:cs="Arial"/>
          <w:sz w:val="22"/>
          <w:lang w:eastAsia="en-AU"/>
        </w:rPr>
        <w:t xml:space="preserve"> </w:t>
      </w:r>
      <w:r>
        <w:rPr>
          <w:rFonts w:ascii="Arial" w:hAnsi="Arial" w:cs="Arial"/>
          <w:sz w:val="22"/>
          <w:lang w:eastAsia="en-AU"/>
        </w:rPr>
        <w:t xml:space="preserve">dietary </w:t>
      </w:r>
      <w:r w:rsidR="000A7DE0">
        <w:rPr>
          <w:rFonts w:ascii="Arial" w:hAnsi="Arial" w:cs="Arial"/>
          <w:sz w:val="22"/>
          <w:lang w:eastAsia="en-AU"/>
        </w:rPr>
        <w:t xml:space="preserve">usual </w:t>
      </w:r>
      <w:r>
        <w:rPr>
          <w:rFonts w:ascii="Arial" w:hAnsi="Arial" w:cs="Arial"/>
          <w:sz w:val="22"/>
          <w:lang w:eastAsia="en-AU"/>
        </w:rPr>
        <w:t xml:space="preserve">iodine intake </w:t>
      </w:r>
      <w:r w:rsidR="00860566">
        <w:rPr>
          <w:rFonts w:ascii="Arial" w:hAnsi="Arial" w:cs="Arial"/>
          <w:sz w:val="22"/>
          <w:lang w:eastAsia="en-AU"/>
        </w:rPr>
        <w:t>at the 5</w:t>
      </w:r>
      <w:r w:rsidR="00860566" w:rsidRPr="005D5C71">
        <w:rPr>
          <w:rFonts w:ascii="Arial" w:hAnsi="Arial" w:cs="Arial"/>
          <w:sz w:val="22"/>
          <w:vertAlign w:val="superscript"/>
          <w:lang w:eastAsia="en-AU"/>
        </w:rPr>
        <w:t>th</w:t>
      </w:r>
      <w:r w:rsidR="00860566">
        <w:rPr>
          <w:rFonts w:ascii="Arial" w:hAnsi="Arial" w:cs="Arial"/>
          <w:sz w:val="22"/>
          <w:lang w:eastAsia="en-AU"/>
        </w:rPr>
        <w:t xml:space="preserve"> and 95</w:t>
      </w:r>
      <w:r w:rsidR="00860566" w:rsidRPr="005D5C71">
        <w:rPr>
          <w:rFonts w:ascii="Arial" w:hAnsi="Arial" w:cs="Arial"/>
          <w:sz w:val="22"/>
          <w:vertAlign w:val="superscript"/>
          <w:lang w:eastAsia="en-AU"/>
        </w:rPr>
        <w:t>th</w:t>
      </w:r>
      <w:r w:rsidR="00860566">
        <w:rPr>
          <w:rFonts w:ascii="Arial" w:hAnsi="Arial" w:cs="Arial"/>
          <w:sz w:val="22"/>
          <w:lang w:eastAsia="en-AU"/>
        </w:rPr>
        <w:t xml:space="preserve"> percentiles </w:t>
      </w:r>
      <w:r>
        <w:rPr>
          <w:rFonts w:ascii="Arial" w:hAnsi="Arial" w:cs="Arial"/>
          <w:sz w:val="22"/>
          <w:lang w:eastAsia="en-AU"/>
        </w:rPr>
        <w:t xml:space="preserve">for the </w:t>
      </w:r>
      <w:r w:rsidR="00860566">
        <w:rPr>
          <w:rFonts w:ascii="Arial" w:hAnsi="Arial" w:cs="Arial"/>
          <w:sz w:val="22"/>
          <w:lang w:eastAsia="en-AU"/>
        </w:rPr>
        <w:t>different</w:t>
      </w:r>
      <w:r>
        <w:rPr>
          <w:rFonts w:ascii="Arial" w:hAnsi="Arial" w:cs="Arial"/>
          <w:sz w:val="22"/>
          <w:lang w:eastAsia="en-AU"/>
        </w:rPr>
        <w:t xml:space="preserve"> </w:t>
      </w:r>
      <w:r w:rsidR="00860566">
        <w:rPr>
          <w:rFonts w:ascii="Arial" w:hAnsi="Arial" w:cs="Arial"/>
          <w:sz w:val="22"/>
          <w:lang w:eastAsia="en-AU"/>
        </w:rPr>
        <w:t xml:space="preserve">Australian </w:t>
      </w:r>
      <w:r>
        <w:rPr>
          <w:rFonts w:ascii="Arial" w:hAnsi="Arial" w:cs="Arial"/>
          <w:sz w:val="22"/>
          <w:lang w:eastAsia="en-AU"/>
        </w:rPr>
        <w:t xml:space="preserve">population age groups prior to, and after fortification of bread with iodine, are given in Table </w:t>
      </w:r>
      <w:r w:rsidR="009B2F41">
        <w:rPr>
          <w:rFonts w:ascii="Arial" w:hAnsi="Arial" w:cs="Arial"/>
          <w:color w:val="000000" w:themeColor="text1"/>
          <w:sz w:val="22"/>
          <w:lang w:eastAsia="en-AU"/>
        </w:rPr>
        <w:t>5</w:t>
      </w:r>
      <w:r w:rsidR="005C760C">
        <w:rPr>
          <w:rStyle w:val="FootnoteReference"/>
          <w:rFonts w:ascii="Arial" w:hAnsi="Arial" w:cs="Arial"/>
          <w:color w:val="000000" w:themeColor="text1"/>
          <w:sz w:val="22"/>
          <w:lang w:eastAsia="en-AU"/>
        </w:rPr>
        <w:footnoteReference w:id="4"/>
      </w:r>
      <w:r w:rsidRPr="00353DFB">
        <w:rPr>
          <w:rFonts w:ascii="Arial" w:hAnsi="Arial" w:cs="Arial"/>
          <w:color w:val="000000" w:themeColor="text1"/>
          <w:sz w:val="22"/>
          <w:lang w:eastAsia="en-AU"/>
        </w:rPr>
        <w:t xml:space="preserve">. </w:t>
      </w:r>
      <w:r w:rsidRPr="005D5C71">
        <w:rPr>
          <w:rFonts w:ascii="Arial" w:hAnsi="Arial" w:cs="Arial"/>
          <w:sz w:val="22"/>
          <w:lang w:eastAsia="en-AU"/>
        </w:rPr>
        <w:t xml:space="preserve">For ease of comparison, the </w:t>
      </w:r>
      <w:r>
        <w:rPr>
          <w:rFonts w:ascii="Arial" w:hAnsi="Arial" w:cs="Arial"/>
          <w:sz w:val="22"/>
          <w:lang w:eastAsia="en-AU"/>
        </w:rPr>
        <w:t xml:space="preserve">estimated </w:t>
      </w:r>
      <w:r w:rsidRPr="005D5C71">
        <w:rPr>
          <w:rFonts w:ascii="Arial" w:hAnsi="Arial" w:cs="Arial"/>
          <w:sz w:val="22"/>
          <w:lang w:eastAsia="en-AU"/>
        </w:rPr>
        <w:t xml:space="preserve">mean </w:t>
      </w:r>
      <w:r w:rsidR="000A7DE0">
        <w:rPr>
          <w:rFonts w:ascii="Arial" w:hAnsi="Arial" w:cs="Arial"/>
          <w:sz w:val="22"/>
          <w:lang w:eastAsia="en-AU"/>
        </w:rPr>
        <w:t xml:space="preserve">usual </w:t>
      </w:r>
      <w:r>
        <w:rPr>
          <w:rFonts w:ascii="Arial" w:hAnsi="Arial" w:cs="Arial"/>
          <w:sz w:val="22"/>
          <w:lang w:eastAsia="en-AU"/>
        </w:rPr>
        <w:t xml:space="preserve">intake </w:t>
      </w:r>
      <w:r w:rsidRPr="005D5C71">
        <w:rPr>
          <w:rFonts w:ascii="Arial" w:hAnsi="Arial" w:cs="Arial"/>
          <w:sz w:val="22"/>
          <w:lang w:eastAsia="en-AU"/>
        </w:rPr>
        <w:t>val</w:t>
      </w:r>
      <w:r>
        <w:rPr>
          <w:rFonts w:ascii="Arial" w:hAnsi="Arial" w:cs="Arial"/>
          <w:sz w:val="22"/>
          <w:lang w:eastAsia="en-AU"/>
        </w:rPr>
        <w:t xml:space="preserve">ues are also provided in the table. </w:t>
      </w:r>
    </w:p>
    <w:p w14:paraId="5D7349B7" w14:textId="77777777" w:rsidR="004A0417" w:rsidRDefault="004A0417">
      <w:pPr>
        <w:tabs>
          <w:tab w:val="clear" w:pos="567"/>
        </w:tabs>
        <w:spacing w:after="0" w:line="240" w:lineRule="auto"/>
        <w:rPr>
          <w:rFonts w:ascii="Arial" w:eastAsia="Times New Roman" w:hAnsi="Arial" w:cs="Times New Roman"/>
          <w:b/>
          <w:bCs/>
          <w:sz w:val="20"/>
          <w:szCs w:val="20"/>
          <w:lang w:val="en-AU" w:eastAsia="en-AU"/>
        </w:rPr>
      </w:pPr>
      <w:r>
        <w:rPr>
          <w:sz w:val="20"/>
        </w:rPr>
        <w:br w:type="page"/>
      </w:r>
    </w:p>
    <w:p w14:paraId="5D7349B8" w14:textId="714C562D" w:rsidR="00860566" w:rsidRDefault="00DC0A52" w:rsidP="00DC0A52">
      <w:pPr>
        <w:pStyle w:val="Caption"/>
      </w:pPr>
      <w:bookmarkStart w:id="29" w:name="_Toc430856501"/>
      <w:r>
        <w:lastRenderedPageBreak/>
        <w:t xml:space="preserve">Table </w:t>
      </w:r>
      <w:r w:rsidR="001E1660">
        <w:fldChar w:fldCharType="begin"/>
      </w:r>
      <w:r w:rsidR="001E1660">
        <w:instrText xml:space="preserve"> SEQ Table \* ARABIC </w:instrText>
      </w:r>
      <w:r w:rsidR="001E1660">
        <w:fldChar w:fldCharType="separate"/>
      </w:r>
      <w:r w:rsidR="00A41217">
        <w:rPr>
          <w:noProof/>
        </w:rPr>
        <w:t>5</w:t>
      </w:r>
      <w:r w:rsidR="001E1660">
        <w:rPr>
          <w:noProof/>
        </w:rPr>
        <w:fldChar w:fldCharType="end"/>
      </w:r>
      <w:r>
        <w:t>: Estimated mean, 5th and 95th percentile usual dietary iodine intake values for Australians</w:t>
      </w:r>
      <w:bookmarkEnd w:id="29"/>
      <w:r>
        <w:t xml:space="preserve">  </w:t>
      </w:r>
    </w:p>
    <w:p w14:paraId="1892FF66" w14:textId="77777777" w:rsidR="00DC0A52" w:rsidRPr="00DC0A52" w:rsidRDefault="00DC0A52" w:rsidP="00DC0A52">
      <w:pPr>
        <w:spacing w:after="0" w:line="240" w:lineRule="auto"/>
        <w:rPr>
          <w:lang w:val="en-AU" w:eastAsia="en-AU"/>
        </w:rPr>
      </w:pPr>
    </w:p>
    <w:tbl>
      <w:tblPr>
        <w:tblStyle w:val="LightShading"/>
        <w:tblW w:w="10000" w:type="dxa"/>
        <w:tblLayout w:type="fixed"/>
        <w:tblLook w:val="06A0" w:firstRow="1" w:lastRow="0" w:firstColumn="1" w:lastColumn="0" w:noHBand="1" w:noVBand="1"/>
        <w:tblCaption w:val="Table 5: Estimated mean, 5th and 95th percentile usual dietary iodine intake values for Australians  "/>
      </w:tblPr>
      <w:tblGrid>
        <w:gridCol w:w="1530"/>
        <w:gridCol w:w="1420"/>
        <w:gridCol w:w="1423"/>
        <w:gridCol w:w="1420"/>
        <w:gridCol w:w="1423"/>
        <w:gridCol w:w="1420"/>
        <w:gridCol w:w="1364"/>
      </w:tblGrid>
      <w:tr w:rsidR="00FD547E" w:rsidRPr="00E879B5" w14:paraId="5D7349BD" w14:textId="77777777" w:rsidTr="006059FC">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530" w:type="dxa"/>
            <w:vMerge w:val="restart"/>
            <w:vAlign w:val="bottom"/>
          </w:tcPr>
          <w:p w14:paraId="5D7349B9" w14:textId="77777777" w:rsidR="00FD547E" w:rsidRPr="00DD7D43" w:rsidRDefault="00FD547E" w:rsidP="00FD547E">
            <w:pPr>
              <w:rPr>
                <w:rFonts w:ascii="Arial" w:hAnsi="Arial" w:cs="Arial"/>
                <w:sz w:val="20"/>
                <w:szCs w:val="20"/>
              </w:rPr>
            </w:pPr>
            <w:r w:rsidRPr="00DD7D43">
              <w:rPr>
                <w:rFonts w:ascii="Arial" w:hAnsi="Arial" w:cs="Arial"/>
                <w:sz w:val="20"/>
                <w:szCs w:val="20"/>
              </w:rPr>
              <w:t>Age group (Both Sexes)</w:t>
            </w:r>
          </w:p>
        </w:tc>
        <w:tc>
          <w:tcPr>
            <w:tcW w:w="2843" w:type="dxa"/>
            <w:gridSpan w:val="2"/>
            <w:tcBorders>
              <w:bottom w:val="single" w:sz="4" w:space="0" w:color="auto"/>
            </w:tcBorders>
          </w:tcPr>
          <w:p w14:paraId="5D7349BA"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DD7D43">
              <w:rPr>
                <w:rFonts w:ascii="Arial" w:hAnsi="Arial" w:cs="Arial"/>
                <w:bCs w:val="0"/>
                <w:sz w:val="20"/>
                <w:szCs w:val="20"/>
              </w:rPr>
              <w:t>Mean iodine i</w:t>
            </w:r>
            <w:r w:rsidRPr="00DD7D43">
              <w:rPr>
                <w:rFonts w:ascii="Arial" w:hAnsi="Arial" w:cs="Arial"/>
                <w:sz w:val="20"/>
                <w:szCs w:val="20"/>
              </w:rPr>
              <w:t>ntake</w:t>
            </w:r>
            <w:r w:rsidRPr="00DD7D43">
              <w:rPr>
                <w:rFonts w:ascii="Arial" w:hAnsi="Arial" w:cs="Arial"/>
                <w:bCs w:val="0"/>
                <w:sz w:val="20"/>
                <w:szCs w:val="20"/>
              </w:rPr>
              <w:t xml:space="preserve"> </w:t>
            </w:r>
            <w:r w:rsidRPr="00DD7D43">
              <w:rPr>
                <w:rFonts w:ascii="Arial" w:hAnsi="Arial" w:cs="Arial"/>
                <w:sz w:val="20"/>
                <w:szCs w:val="20"/>
              </w:rPr>
              <w:t>(</w:t>
            </w:r>
            <w:r>
              <w:rPr>
                <w:rFonts w:ascii="Arial" w:hAnsi="Arial" w:cs="Arial"/>
                <w:sz w:val="20"/>
                <w:szCs w:val="20"/>
              </w:rPr>
              <w:t>µ</w:t>
            </w:r>
            <w:r w:rsidRPr="00DD7D43">
              <w:rPr>
                <w:rFonts w:ascii="Arial" w:hAnsi="Arial" w:cs="Arial"/>
                <w:sz w:val="20"/>
                <w:szCs w:val="20"/>
              </w:rPr>
              <w:t>g/day)</w:t>
            </w:r>
          </w:p>
        </w:tc>
        <w:tc>
          <w:tcPr>
            <w:tcW w:w="2843" w:type="dxa"/>
            <w:gridSpan w:val="2"/>
            <w:tcBorders>
              <w:bottom w:val="single" w:sz="4" w:space="0" w:color="auto"/>
            </w:tcBorders>
          </w:tcPr>
          <w:p w14:paraId="5D7349BB" w14:textId="77777777" w:rsidR="00FD547E" w:rsidRPr="00DD7D43" w:rsidRDefault="00FD547E" w:rsidP="00E5125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AU" w:eastAsia="en-AU"/>
              </w:rPr>
            </w:pPr>
            <w:r w:rsidRPr="00DD7D43">
              <w:rPr>
                <w:rFonts w:ascii="Arial" w:hAnsi="Arial" w:cs="Arial"/>
                <w:sz w:val="20"/>
                <w:szCs w:val="20"/>
              </w:rPr>
              <w:t xml:space="preserve">5th percentile </w:t>
            </w:r>
            <w:r w:rsidRPr="00DD7D43">
              <w:rPr>
                <w:rFonts w:ascii="Arial" w:hAnsi="Arial" w:cs="Arial"/>
                <w:bCs w:val="0"/>
                <w:sz w:val="20"/>
                <w:szCs w:val="20"/>
              </w:rPr>
              <w:t xml:space="preserve">iodine </w:t>
            </w:r>
            <w:r w:rsidRPr="00DD7D43">
              <w:rPr>
                <w:rFonts w:ascii="Arial" w:hAnsi="Arial" w:cs="Arial"/>
                <w:sz w:val="20"/>
                <w:szCs w:val="20"/>
              </w:rPr>
              <w:t>intake (</w:t>
            </w:r>
            <w:r>
              <w:rPr>
                <w:rFonts w:ascii="Arial" w:hAnsi="Arial" w:cs="Arial"/>
                <w:sz w:val="20"/>
                <w:szCs w:val="20"/>
              </w:rPr>
              <w:t>µ</w:t>
            </w:r>
            <w:r w:rsidRPr="00DD7D43">
              <w:rPr>
                <w:rFonts w:ascii="Arial" w:hAnsi="Arial" w:cs="Arial"/>
                <w:sz w:val="20"/>
                <w:szCs w:val="20"/>
              </w:rPr>
              <w:t>g/day)</w:t>
            </w:r>
          </w:p>
        </w:tc>
        <w:tc>
          <w:tcPr>
            <w:tcW w:w="2784" w:type="dxa"/>
            <w:gridSpan w:val="2"/>
            <w:tcBorders>
              <w:bottom w:val="single" w:sz="4" w:space="0" w:color="auto"/>
            </w:tcBorders>
          </w:tcPr>
          <w:p w14:paraId="5D7349BC" w14:textId="77777777" w:rsidR="00FD547E" w:rsidRPr="00DD7D43" w:rsidRDefault="00FD547E" w:rsidP="00E51250">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AU" w:eastAsia="en-AU"/>
              </w:rPr>
            </w:pPr>
            <w:r w:rsidRPr="00DD7D43">
              <w:rPr>
                <w:rFonts w:ascii="Arial" w:hAnsi="Arial" w:cs="Arial"/>
                <w:sz w:val="20"/>
                <w:szCs w:val="20"/>
              </w:rPr>
              <w:t xml:space="preserve">95th percentile </w:t>
            </w:r>
            <w:r w:rsidRPr="00DD7D43">
              <w:rPr>
                <w:rFonts w:ascii="Arial" w:hAnsi="Arial" w:cs="Arial"/>
                <w:bCs w:val="0"/>
                <w:sz w:val="20"/>
                <w:szCs w:val="20"/>
              </w:rPr>
              <w:t xml:space="preserve">iodine </w:t>
            </w:r>
            <w:r w:rsidRPr="00DD7D43">
              <w:rPr>
                <w:rFonts w:ascii="Arial" w:hAnsi="Arial" w:cs="Arial"/>
                <w:sz w:val="20"/>
                <w:szCs w:val="20"/>
              </w:rPr>
              <w:t>intake (</w:t>
            </w:r>
            <w:r>
              <w:rPr>
                <w:rFonts w:ascii="Arial" w:hAnsi="Arial" w:cs="Arial"/>
                <w:sz w:val="20"/>
                <w:szCs w:val="20"/>
              </w:rPr>
              <w:t>µ</w:t>
            </w:r>
            <w:r w:rsidRPr="00DD7D43">
              <w:rPr>
                <w:rFonts w:ascii="Arial" w:hAnsi="Arial" w:cs="Arial"/>
                <w:sz w:val="20"/>
                <w:szCs w:val="20"/>
              </w:rPr>
              <w:t>g/day)</w:t>
            </w:r>
          </w:p>
        </w:tc>
      </w:tr>
      <w:tr w:rsidR="00FD547E" w:rsidRPr="00E879B5" w14:paraId="5D7349C5" w14:textId="77777777" w:rsidTr="006059FC">
        <w:trPr>
          <w:cnfStyle w:val="100000000000" w:firstRow="1" w:lastRow="0" w:firstColumn="0" w:lastColumn="0" w:oddVBand="0" w:evenVBand="0" w:oddHBand="0" w:evenHBand="0" w:firstRowFirstColumn="0" w:firstRowLastColumn="0" w:lastRowFirstColumn="0" w:lastRowLastColumn="0"/>
          <w:trHeight w:val="596"/>
          <w:tblHeader/>
        </w:trPr>
        <w:tc>
          <w:tcPr>
            <w:cnfStyle w:val="001000000000" w:firstRow="0" w:lastRow="0" w:firstColumn="1" w:lastColumn="0" w:oddVBand="0" w:evenVBand="0" w:oddHBand="0" w:evenHBand="0" w:firstRowFirstColumn="0" w:firstRowLastColumn="0" w:lastRowFirstColumn="0" w:lastRowLastColumn="0"/>
            <w:tcW w:w="1530" w:type="dxa"/>
            <w:vMerge/>
            <w:tcBorders>
              <w:bottom w:val="single" w:sz="4" w:space="0" w:color="auto"/>
            </w:tcBorders>
          </w:tcPr>
          <w:p w14:paraId="5D7349BE" w14:textId="77777777" w:rsidR="00FD547E" w:rsidRPr="00DD7D43" w:rsidRDefault="00FD547E" w:rsidP="00CC5193">
            <w:pPr>
              <w:rPr>
                <w:rFonts w:ascii="Arial" w:hAnsi="Arial" w:cs="Arial"/>
                <w:b w:val="0"/>
                <w:bCs w:val="0"/>
                <w:sz w:val="20"/>
                <w:szCs w:val="20"/>
              </w:rPr>
            </w:pPr>
          </w:p>
        </w:tc>
        <w:tc>
          <w:tcPr>
            <w:tcW w:w="1420" w:type="dxa"/>
            <w:tcBorders>
              <w:top w:val="single" w:sz="4" w:space="0" w:color="auto"/>
              <w:bottom w:val="single" w:sz="4" w:space="0" w:color="auto"/>
            </w:tcBorders>
          </w:tcPr>
          <w:p w14:paraId="5D7349BF"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Pre-fortification</w:t>
            </w:r>
          </w:p>
        </w:tc>
        <w:tc>
          <w:tcPr>
            <w:tcW w:w="1423" w:type="dxa"/>
            <w:tcBorders>
              <w:top w:val="single" w:sz="4" w:space="0" w:color="auto"/>
              <w:bottom w:val="single" w:sz="4" w:space="0" w:color="auto"/>
            </w:tcBorders>
          </w:tcPr>
          <w:p w14:paraId="5D7349C0"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Post-fortification</w:t>
            </w:r>
          </w:p>
        </w:tc>
        <w:tc>
          <w:tcPr>
            <w:tcW w:w="1420" w:type="dxa"/>
            <w:tcBorders>
              <w:top w:val="single" w:sz="4" w:space="0" w:color="auto"/>
              <w:bottom w:val="single" w:sz="4" w:space="0" w:color="auto"/>
            </w:tcBorders>
          </w:tcPr>
          <w:p w14:paraId="5D7349C1"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Pre-fortification</w:t>
            </w:r>
          </w:p>
        </w:tc>
        <w:tc>
          <w:tcPr>
            <w:tcW w:w="1423" w:type="dxa"/>
            <w:tcBorders>
              <w:top w:val="single" w:sz="4" w:space="0" w:color="auto"/>
              <w:bottom w:val="single" w:sz="4" w:space="0" w:color="auto"/>
            </w:tcBorders>
          </w:tcPr>
          <w:p w14:paraId="5D7349C2"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Post-fortification</w:t>
            </w:r>
          </w:p>
        </w:tc>
        <w:tc>
          <w:tcPr>
            <w:tcW w:w="1420" w:type="dxa"/>
            <w:tcBorders>
              <w:top w:val="single" w:sz="4" w:space="0" w:color="auto"/>
              <w:bottom w:val="single" w:sz="4" w:space="0" w:color="auto"/>
            </w:tcBorders>
          </w:tcPr>
          <w:p w14:paraId="5D7349C3"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Pre-fortification</w:t>
            </w:r>
          </w:p>
        </w:tc>
        <w:tc>
          <w:tcPr>
            <w:tcW w:w="1364" w:type="dxa"/>
            <w:tcBorders>
              <w:top w:val="single" w:sz="4" w:space="0" w:color="auto"/>
              <w:bottom w:val="single" w:sz="4" w:space="0" w:color="auto"/>
            </w:tcBorders>
          </w:tcPr>
          <w:p w14:paraId="5D7349C4" w14:textId="77777777" w:rsidR="00FD547E" w:rsidRPr="00DD7D43" w:rsidRDefault="00FD547E" w:rsidP="00E5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D7D43">
              <w:rPr>
                <w:rFonts w:ascii="Arial" w:hAnsi="Arial" w:cs="Arial"/>
                <w:sz w:val="20"/>
                <w:szCs w:val="20"/>
              </w:rPr>
              <w:t>Post-fortification</w:t>
            </w:r>
          </w:p>
        </w:tc>
      </w:tr>
      <w:tr w:rsidR="00DB7F89" w:rsidRPr="00E879B5" w14:paraId="5D7349CD" w14:textId="77777777" w:rsidTr="00FD547E">
        <w:trPr>
          <w:trHeight w:val="15"/>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tcPr>
          <w:p w14:paraId="5D7349C6" w14:textId="77777777" w:rsidR="00E879B5" w:rsidRPr="00DD7D43" w:rsidRDefault="00E879B5" w:rsidP="00E51250">
            <w:pPr>
              <w:spacing w:after="120"/>
              <w:rPr>
                <w:rFonts w:ascii="Arial" w:hAnsi="Arial" w:cs="Arial"/>
                <w:sz w:val="20"/>
                <w:szCs w:val="20"/>
              </w:rPr>
            </w:pPr>
            <w:r w:rsidRPr="00DD7D43">
              <w:rPr>
                <w:rFonts w:ascii="Arial" w:hAnsi="Arial" w:cs="Arial"/>
                <w:sz w:val="20"/>
                <w:szCs w:val="20"/>
              </w:rPr>
              <w:t>2-3 years</w:t>
            </w:r>
            <w:r w:rsidR="004C0820" w:rsidRPr="00DD7D43">
              <w:rPr>
                <w:rFonts w:ascii="Arial" w:hAnsi="Arial" w:cs="Arial"/>
                <w:sz w:val="20"/>
                <w:szCs w:val="20"/>
                <w:vertAlign w:val="superscript"/>
              </w:rPr>
              <w:t>#</w:t>
            </w:r>
            <w:r w:rsidRPr="00DD7D43">
              <w:rPr>
                <w:rFonts w:ascii="Arial" w:hAnsi="Arial" w:cs="Arial"/>
                <w:sz w:val="20"/>
                <w:szCs w:val="20"/>
                <w:vertAlign w:val="superscript"/>
              </w:rPr>
              <w:t xml:space="preserve"> </w:t>
            </w:r>
          </w:p>
        </w:tc>
        <w:tc>
          <w:tcPr>
            <w:tcW w:w="1420" w:type="dxa"/>
            <w:tcBorders>
              <w:top w:val="single" w:sz="4" w:space="0" w:color="auto"/>
            </w:tcBorders>
          </w:tcPr>
          <w:p w14:paraId="5D7349C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127</w:t>
            </w:r>
          </w:p>
        </w:tc>
        <w:tc>
          <w:tcPr>
            <w:tcW w:w="1423" w:type="dxa"/>
            <w:tcBorders>
              <w:top w:val="single" w:sz="4" w:space="0" w:color="auto"/>
            </w:tcBorders>
          </w:tcPr>
          <w:p w14:paraId="5D7349C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164</w:t>
            </w:r>
          </w:p>
        </w:tc>
        <w:tc>
          <w:tcPr>
            <w:tcW w:w="1420" w:type="dxa"/>
            <w:tcBorders>
              <w:top w:val="single" w:sz="4" w:space="0" w:color="auto"/>
            </w:tcBorders>
          </w:tcPr>
          <w:p w14:paraId="5D7349C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57</w:t>
            </w:r>
          </w:p>
        </w:tc>
        <w:tc>
          <w:tcPr>
            <w:tcW w:w="1423" w:type="dxa"/>
            <w:tcBorders>
              <w:top w:val="single" w:sz="4" w:space="0" w:color="auto"/>
            </w:tcBorders>
          </w:tcPr>
          <w:p w14:paraId="5D7349C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92</w:t>
            </w:r>
          </w:p>
        </w:tc>
        <w:tc>
          <w:tcPr>
            <w:tcW w:w="1420" w:type="dxa"/>
            <w:tcBorders>
              <w:top w:val="single" w:sz="4" w:space="0" w:color="auto"/>
            </w:tcBorders>
          </w:tcPr>
          <w:p w14:paraId="5D7349C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208</w:t>
            </w:r>
          </w:p>
        </w:tc>
        <w:tc>
          <w:tcPr>
            <w:tcW w:w="1364" w:type="dxa"/>
            <w:tcBorders>
              <w:top w:val="single" w:sz="4" w:space="0" w:color="auto"/>
            </w:tcBorders>
          </w:tcPr>
          <w:p w14:paraId="5D7349C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243</w:t>
            </w:r>
          </w:p>
        </w:tc>
      </w:tr>
      <w:tr w:rsidR="00DB7F89" w:rsidRPr="00E879B5" w14:paraId="5D7349D5"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CE" w14:textId="77777777" w:rsidR="00E879B5" w:rsidRPr="00DD7D43" w:rsidRDefault="00E879B5" w:rsidP="00E51250">
            <w:pPr>
              <w:spacing w:after="120"/>
              <w:rPr>
                <w:rFonts w:ascii="Arial" w:hAnsi="Arial" w:cs="Arial"/>
                <w:sz w:val="20"/>
                <w:szCs w:val="20"/>
              </w:rPr>
            </w:pPr>
            <w:r w:rsidRPr="00DD7D43">
              <w:rPr>
                <w:rFonts w:ascii="Arial" w:hAnsi="Arial" w:cs="Arial"/>
                <w:sz w:val="20"/>
                <w:szCs w:val="20"/>
              </w:rPr>
              <w:t>4-8 years</w:t>
            </w:r>
            <w:r w:rsidR="004C0820" w:rsidRPr="00DD7D43">
              <w:rPr>
                <w:rFonts w:ascii="Arial" w:hAnsi="Arial" w:cs="Arial"/>
                <w:sz w:val="20"/>
                <w:szCs w:val="20"/>
                <w:vertAlign w:val="superscript"/>
              </w:rPr>
              <w:t>#</w:t>
            </w:r>
            <w:r w:rsidRPr="00DD7D43">
              <w:rPr>
                <w:rFonts w:ascii="Arial" w:hAnsi="Arial" w:cs="Arial"/>
                <w:sz w:val="20"/>
                <w:szCs w:val="20"/>
                <w:vertAlign w:val="superscript"/>
              </w:rPr>
              <w:t xml:space="preserve"> </w:t>
            </w:r>
          </w:p>
        </w:tc>
        <w:tc>
          <w:tcPr>
            <w:tcW w:w="1420" w:type="dxa"/>
          </w:tcPr>
          <w:p w14:paraId="5D7349CF"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120</w:t>
            </w:r>
          </w:p>
        </w:tc>
        <w:tc>
          <w:tcPr>
            <w:tcW w:w="1423" w:type="dxa"/>
          </w:tcPr>
          <w:p w14:paraId="5D7349D0"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171</w:t>
            </w:r>
          </w:p>
        </w:tc>
        <w:tc>
          <w:tcPr>
            <w:tcW w:w="1420" w:type="dxa"/>
          </w:tcPr>
          <w:p w14:paraId="5D7349D1"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57</w:t>
            </w:r>
          </w:p>
        </w:tc>
        <w:tc>
          <w:tcPr>
            <w:tcW w:w="1423" w:type="dxa"/>
          </w:tcPr>
          <w:p w14:paraId="5D7349D2"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101</w:t>
            </w:r>
          </w:p>
        </w:tc>
        <w:tc>
          <w:tcPr>
            <w:tcW w:w="1420" w:type="dxa"/>
          </w:tcPr>
          <w:p w14:paraId="5D7349D3"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194</w:t>
            </w:r>
          </w:p>
        </w:tc>
        <w:tc>
          <w:tcPr>
            <w:tcW w:w="1364" w:type="dxa"/>
          </w:tcPr>
          <w:p w14:paraId="5D7349D4"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250</w:t>
            </w:r>
          </w:p>
        </w:tc>
      </w:tr>
      <w:tr w:rsidR="00DB7F89" w:rsidRPr="00E879B5" w14:paraId="5D7349DD"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D6" w14:textId="77777777" w:rsidR="00E879B5" w:rsidRPr="00DD7D43" w:rsidRDefault="00E879B5" w:rsidP="00E51250">
            <w:pPr>
              <w:spacing w:after="120"/>
              <w:rPr>
                <w:rFonts w:ascii="Arial" w:hAnsi="Arial" w:cs="Arial"/>
                <w:sz w:val="20"/>
                <w:szCs w:val="20"/>
              </w:rPr>
            </w:pPr>
            <w:r w:rsidRPr="00DD7D43">
              <w:rPr>
                <w:rFonts w:ascii="Arial" w:hAnsi="Arial" w:cs="Arial"/>
                <w:sz w:val="20"/>
                <w:szCs w:val="20"/>
              </w:rPr>
              <w:t>9-13 years</w:t>
            </w:r>
            <w:r w:rsidR="004C0820" w:rsidRPr="00DD7D43">
              <w:rPr>
                <w:rFonts w:ascii="Arial" w:hAnsi="Arial" w:cs="Arial"/>
                <w:sz w:val="20"/>
                <w:szCs w:val="20"/>
                <w:vertAlign w:val="superscript"/>
              </w:rPr>
              <w:t>#</w:t>
            </w:r>
            <w:r w:rsidRPr="00DD7D43">
              <w:rPr>
                <w:rFonts w:ascii="Arial" w:hAnsi="Arial" w:cs="Arial"/>
                <w:sz w:val="20"/>
                <w:szCs w:val="20"/>
              </w:rPr>
              <w:t xml:space="preserve"> </w:t>
            </w:r>
          </w:p>
        </w:tc>
        <w:tc>
          <w:tcPr>
            <w:tcW w:w="1420" w:type="dxa"/>
          </w:tcPr>
          <w:p w14:paraId="5D7349D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141</w:t>
            </w:r>
          </w:p>
        </w:tc>
        <w:tc>
          <w:tcPr>
            <w:tcW w:w="1423" w:type="dxa"/>
          </w:tcPr>
          <w:p w14:paraId="5D7349D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196</w:t>
            </w:r>
          </w:p>
        </w:tc>
        <w:tc>
          <w:tcPr>
            <w:tcW w:w="1420" w:type="dxa"/>
          </w:tcPr>
          <w:p w14:paraId="5D7349D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68</w:t>
            </w:r>
          </w:p>
        </w:tc>
        <w:tc>
          <w:tcPr>
            <w:tcW w:w="1423" w:type="dxa"/>
          </w:tcPr>
          <w:p w14:paraId="5D7349D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115</w:t>
            </w:r>
          </w:p>
        </w:tc>
        <w:tc>
          <w:tcPr>
            <w:tcW w:w="1420" w:type="dxa"/>
          </w:tcPr>
          <w:p w14:paraId="5D7349D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234</w:t>
            </w:r>
          </w:p>
        </w:tc>
        <w:tc>
          <w:tcPr>
            <w:tcW w:w="1364" w:type="dxa"/>
          </w:tcPr>
          <w:p w14:paraId="5D7349D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294</w:t>
            </w:r>
          </w:p>
        </w:tc>
      </w:tr>
      <w:tr w:rsidR="00DB7F89" w:rsidRPr="00E879B5" w14:paraId="5D7349E5"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DE" w14:textId="77777777" w:rsidR="00E879B5" w:rsidRPr="00DD7D43" w:rsidRDefault="00E879B5" w:rsidP="00E51250">
            <w:pPr>
              <w:spacing w:after="120"/>
              <w:rPr>
                <w:rFonts w:ascii="Arial" w:hAnsi="Arial" w:cs="Arial"/>
                <w:sz w:val="20"/>
                <w:szCs w:val="20"/>
              </w:rPr>
            </w:pPr>
            <w:r w:rsidRPr="00DD7D43">
              <w:rPr>
                <w:rFonts w:ascii="Arial" w:hAnsi="Arial" w:cs="Arial"/>
                <w:sz w:val="20"/>
                <w:szCs w:val="20"/>
              </w:rPr>
              <w:t>14-16 years</w:t>
            </w:r>
            <w:r w:rsidR="004C0820" w:rsidRPr="00DD7D43">
              <w:rPr>
                <w:rFonts w:ascii="Arial" w:hAnsi="Arial" w:cs="Arial"/>
                <w:sz w:val="20"/>
                <w:szCs w:val="20"/>
                <w:vertAlign w:val="superscript"/>
              </w:rPr>
              <w:t>#</w:t>
            </w:r>
            <w:r w:rsidRPr="00DD7D43">
              <w:rPr>
                <w:rFonts w:ascii="Arial" w:hAnsi="Arial" w:cs="Arial"/>
                <w:sz w:val="20"/>
                <w:szCs w:val="20"/>
              </w:rPr>
              <w:t xml:space="preserve"> </w:t>
            </w:r>
          </w:p>
        </w:tc>
        <w:tc>
          <w:tcPr>
            <w:tcW w:w="1420" w:type="dxa"/>
          </w:tcPr>
          <w:p w14:paraId="5D7349DF"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154</w:t>
            </w:r>
          </w:p>
        </w:tc>
        <w:tc>
          <w:tcPr>
            <w:tcW w:w="1423" w:type="dxa"/>
          </w:tcPr>
          <w:p w14:paraId="5D7349E0"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216</w:t>
            </w:r>
          </w:p>
        </w:tc>
        <w:tc>
          <w:tcPr>
            <w:tcW w:w="1420" w:type="dxa"/>
          </w:tcPr>
          <w:p w14:paraId="5D7349E1"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71</w:t>
            </w:r>
          </w:p>
        </w:tc>
        <w:tc>
          <w:tcPr>
            <w:tcW w:w="1423" w:type="dxa"/>
          </w:tcPr>
          <w:p w14:paraId="5D7349E2"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115</w:t>
            </w:r>
          </w:p>
        </w:tc>
        <w:tc>
          <w:tcPr>
            <w:tcW w:w="1420" w:type="dxa"/>
          </w:tcPr>
          <w:p w14:paraId="5D7349E3"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269</w:t>
            </w:r>
          </w:p>
        </w:tc>
        <w:tc>
          <w:tcPr>
            <w:tcW w:w="1364" w:type="dxa"/>
          </w:tcPr>
          <w:p w14:paraId="5D7349E4"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343</w:t>
            </w:r>
          </w:p>
        </w:tc>
      </w:tr>
      <w:tr w:rsidR="00DB7F89" w:rsidRPr="00E879B5" w14:paraId="5D7349ED"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E6" w14:textId="77777777" w:rsidR="00E879B5" w:rsidRPr="00DD7D43" w:rsidRDefault="00E879B5" w:rsidP="00E51250">
            <w:pPr>
              <w:spacing w:after="120"/>
              <w:rPr>
                <w:rFonts w:ascii="Arial" w:hAnsi="Arial" w:cs="Arial"/>
                <w:sz w:val="20"/>
                <w:szCs w:val="20"/>
              </w:rPr>
            </w:pPr>
            <w:r w:rsidRPr="00DD7D43">
              <w:rPr>
                <w:rFonts w:ascii="Arial" w:hAnsi="Arial" w:cs="Arial"/>
                <w:sz w:val="20"/>
                <w:szCs w:val="20"/>
              </w:rPr>
              <w:t>2-16 years</w:t>
            </w:r>
            <w:r w:rsidR="004C0820" w:rsidRPr="00DD7D43">
              <w:rPr>
                <w:rFonts w:ascii="Arial" w:hAnsi="Arial" w:cs="Arial"/>
                <w:sz w:val="20"/>
                <w:szCs w:val="20"/>
                <w:vertAlign w:val="superscript"/>
              </w:rPr>
              <w:t>#</w:t>
            </w:r>
            <w:r w:rsidRPr="00DD7D43">
              <w:rPr>
                <w:rFonts w:ascii="Arial" w:hAnsi="Arial" w:cs="Arial"/>
                <w:sz w:val="20"/>
                <w:szCs w:val="20"/>
              </w:rPr>
              <w:t xml:space="preserve"> </w:t>
            </w:r>
          </w:p>
        </w:tc>
        <w:tc>
          <w:tcPr>
            <w:tcW w:w="1420" w:type="dxa"/>
          </w:tcPr>
          <w:p w14:paraId="5D7349E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135</w:t>
            </w:r>
          </w:p>
        </w:tc>
        <w:tc>
          <w:tcPr>
            <w:tcW w:w="1423" w:type="dxa"/>
          </w:tcPr>
          <w:p w14:paraId="5D7349E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187</w:t>
            </w:r>
          </w:p>
        </w:tc>
        <w:tc>
          <w:tcPr>
            <w:tcW w:w="1420" w:type="dxa"/>
          </w:tcPr>
          <w:p w14:paraId="5D7349E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63</w:t>
            </w:r>
          </w:p>
        </w:tc>
        <w:tc>
          <w:tcPr>
            <w:tcW w:w="1423" w:type="dxa"/>
          </w:tcPr>
          <w:p w14:paraId="5D7349E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106</w:t>
            </w:r>
          </w:p>
        </w:tc>
        <w:tc>
          <w:tcPr>
            <w:tcW w:w="1420" w:type="dxa"/>
          </w:tcPr>
          <w:p w14:paraId="5D7349E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228</w:t>
            </w:r>
          </w:p>
        </w:tc>
        <w:tc>
          <w:tcPr>
            <w:tcW w:w="1364" w:type="dxa"/>
          </w:tcPr>
          <w:p w14:paraId="5D7349E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43">
              <w:rPr>
                <w:rFonts w:ascii="Arial" w:hAnsi="Arial" w:cs="Arial"/>
                <w:sz w:val="20"/>
                <w:szCs w:val="20"/>
              </w:rPr>
              <w:t>291</w:t>
            </w:r>
          </w:p>
        </w:tc>
      </w:tr>
      <w:tr w:rsidR="00DB7F89" w:rsidRPr="00E879B5" w14:paraId="5D7349F5"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EE"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17-18 years*</w:t>
            </w:r>
          </w:p>
        </w:tc>
        <w:tc>
          <w:tcPr>
            <w:tcW w:w="1420" w:type="dxa"/>
          </w:tcPr>
          <w:p w14:paraId="5D7349EF"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119</w:t>
            </w:r>
          </w:p>
        </w:tc>
        <w:tc>
          <w:tcPr>
            <w:tcW w:w="1423" w:type="dxa"/>
          </w:tcPr>
          <w:p w14:paraId="5D7349F0"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182</w:t>
            </w:r>
          </w:p>
        </w:tc>
        <w:tc>
          <w:tcPr>
            <w:tcW w:w="1420" w:type="dxa"/>
          </w:tcPr>
          <w:p w14:paraId="5D7349F1"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53</w:t>
            </w:r>
          </w:p>
        </w:tc>
        <w:tc>
          <w:tcPr>
            <w:tcW w:w="1423" w:type="dxa"/>
          </w:tcPr>
          <w:p w14:paraId="5D7349F2"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96</w:t>
            </w:r>
          </w:p>
        </w:tc>
        <w:tc>
          <w:tcPr>
            <w:tcW w:w="1420" w:type="dxa"/>
          </w:tcPr>
          <w:p w14:paraId="5D7349F3"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205</w:t>
            </w:r>
          </w:p>
        </w:tc>
        <w:tc>
          <w:tcPr>
            <w:tcW w:w="1364" w:type="dxa"/>
          </w:tcPr>
          <w:p w14:paraId="5D7349F4"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293</w:t>
            </w:r>
          </w:p>
        </w:tc>
      </w:tr>
      <w:tr w:rsidR="00DB7F89" w:rsidRPr="00E879B5" w14:paraId="5D7349FD"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F6"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19-29 years*</w:t>
            </w:r>
          </w:p>
        </w:tc>
        <w:tc>
          <w:tcPr>
            <w:tcW w:w="1420" w:type="dxa"/>
          </w:tcPr>
          <w:p w14:paraId="5D7349F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116</w:t>
            </w:r>
          </w:p>
        </w:tc>
        <w:tc>
          <w:tcPr>
            <w:tcW w:w="1423" w:type="dxa"/>
          </w:tcPr>
          <w:p w14:paraId="5D7349F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180</w:t>
            </w:r>
          </w:p>
        </w:tc>
        <w:tc>
          <w:tcPr>
            <w:tcW w:w="1420" w:type="dxa"/>
          </w:tcPr>
          <w:p w14:paraId="5D7349F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57</w:t>
            </w:r>
          </w:p>
        </w:tc>
        <w:tc>
          <w:tcPr>
            <w:tcW w:w="1423" w:type="dxa"/>
          </w:tcPr>
          <w:p w14:paraId="5D7349F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96</w:t>
            </w:r>
          </w:p>
        </w:tc>
        <w:tc>
          <w:tcPr>
            <w:tcW w:w="1420" w:type="dxa"/>
          </w:tcPr>
          <w:p w14:paraId="5D7349F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200</w:t>
            </w:r>
          </w:p>
        </w:tc>
        <w:tc>
          <w:tcPr>
            <w:tcW w:w="1364" w:type="dxa"/>
          </w:tcPr>
          <w:p w14:paraId="5D7349F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287</w:t>
            </w:r>
          </w:p>
        </w:tc>
      </w:tr>
      <w:tr w:rsidR="00DB7F89" w:rsidRPr="00E879B5" w14:paraId="5D734A05"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9FE"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30-49 years*</w:t>
            </w:r>
          </w:p>
        </w:tc>
        <w:tc>
          <w:tcPr>
            <w:tcW w:w="1420" w:type="dxa"/>
          </w:tcPr>
          <w:p w14:paraId="5D7349FF"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108</w:t>
            </w:r>
          </w:p>
        </w:tc>
        <w:tc>
          <w:tcPr>
            <w:tcW w:w="1423" w:type="dxa"/>
          </w:tcPr>
          <w:p w14:paraId="5D734A00"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170</w:t>
            </w:r>
          </w:p>
        </w:tc>
        <w:tc>
          <w:tcPr>
            <w:tcW w:w="1420" w:type="dxa"/>
          </w:tcPr>
          <w:p w14:paraId="5D734A01"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58</w:t>
            </w:r>
          </w:p>
        </w:tc>
        <w:tc>
          <w:tcPr>
            <w:tcW w:w="1423" w:type="dxa"/>
          </w:tcPr>
          <w:p w14:paraId="5D734A02"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98</w:t>
            </w:r>
          </w:p>
        </w:tc>
        <w:tc>
          <w:tcPr>
            <w:tcW w:w="1420" w:type="dxa"/>
          </w:tcPr>
          <w:p w14:paraId="5D734A03"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176</w:t>
            </w:r>
          </w:p>
        </w:tc>
        <w:tc>
          <w:tcPr>
            <w:tcW w:w="1364" w:type="dxa"/>
          </w:tcPr>
          <w:p w14:paraId="5D734A04"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267</w:t>
            </w:r>
          </w:p>
        </w:tc>
      </w:tr>
      <w:tr w:rsidR="00DB7F89" w:rsidRPr="00E879B5" w14:paraId="5D734A0D" w14:textId="77777777" w:rsidTr="00DB7F89">
        <w:trPr>
          <w:trHeight w:val="15"/>
        </w:trPr>
        <w:tc>
          <w:tcPr>
            <w:cnfStyle w:val="001000000000" w:firstRow="0" w:lastRow="0" w:firstColumn="1" w:lastColumn="0" w:oddVBand="0" w:evenVBand="0" w:oddHBand="0" w:evenHBand="0" w:firstRowFirstColumn="0" w:firstRowLastColumn="0" w:lastRowFirstColumn="0" w:lastRowLastColumn="0"/>
            <w:tcW w:w="1530" w:type="dxa"/>
          </w:tcPr>
          <w:p w14:paraId="5D734A06"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50-69 years*</w:t>
            </w:r>
          </w:p>
        </w:tc>
        <w:tc>
          <w:tcPr>
            <w:tcW w:w="1420" w:type="dxa"/>
          </w:tcPr>
          <w:p w14:paraId="5D734A0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103</w:t>
            </w:r>
          </w:p>
        </w:tc>
        <w:tc>
          <w:tcPr>
            <w:tcW w:w="1423" w:type="dxa"/>
          </w:tcPr>
          <w:p w14:paraId="5D734A0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162</w:t>
            </w:r>
          </w:p>
        </w:tc>
        <w:tc>
          <w:tcPr>
            <w:tcW w:w="1420" w:type="dxa"/>
          </w:tcPr>
          <w:p w14:paraId="5D734A0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57</w:t>
            </w:r>
          </w:p>
        </w:tc>
        <w:tc>
          <w:tcPr>
            <w:tcW w:w="1423" w:type="dxa"/>
          </w:tcPr>
          <w:p w14:paraId="5D734A0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97</w:t>
            </w:r>
          </w:p>
        </w:tc>
        <w:tc>
          <w:tcPr>
            <w:tcW w:w="1420" w:type="dxa"/>
          </w:tcPr>
          <w:p w14:paraId="5D734A0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164</w:t>
            </w:r>
          </w:p>
        </w:tc>
        <w:tc>
          <w:tcPr>
            <w:tcW w:w="1364" w:type="dxa"/>
          </w:tcPr>
          <w:p w14:paraId="5D734A0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245</w:t>
            </w:r>
          </w:p>
        </w:tc>
      </w:tr>
      <w:tr w:rsidR="00DB7F89" w:rsidRPr="00E879B5" w14:paraId="5D734A15" w14:textId="77777777" w:rsidTr="006D7070">
        <w:trPr>
          <w:trHeight w:val="15"/>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tcPr>
          <w:p w14:paraId="5D734A0E"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70 years and above*</w:t>
            </w:r>
          </w:p>
        </w:tc>
        <w:tc>
          <w:tcPr>
            <w:tcW w:w="1420" w:type="dxa"/>
            <w:tcBorders>
              <w:bottom w:val="single" w:sz="4" w:space="0" w:color="auto"/>
            </w:tcBorders>
          </w:tcPr>
          <w:p w14:paraId="5D734A0F"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94</w:t>
            </w:r>
          </w:p>
        </w:tc>
        <w:tc>
          <w:tcPr>
            <w:tcW w:w="1423" w:type="dxa"/>
            <w:tcBorders>
              <w:bottom w:val="single" w:sz="4" w:space="0" w:color="auto"/>
            </w:tcBorders>
          </w:tcPr>
          <w:p w14:paraId="5D734A10"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151</w:t>
            </w:r>
          </w:p>
        </w:tc>
        <w:tc>
          <w:tcPr>
            <w:tcW w:w="1420" w:type="dxa"/>
            <w:tcBorders>
              <w:bottom w:val="single" w:sz="4" w:space="0" w:color="auto"/>
            </w:tcBorders>
          </w:tcPr>
          <w:p w14:paraId="5D734A11"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54</w:t>
            </w:r>
          </w:p>
        </w:tc>
        <w:tc>
          <w:tcPr>
            <w:tcW w:w="1423" w:type="dxa"/>
            <w:tcBorders>
              <w:bottom w:val="single" w:sz="4" w:space="0" w:color="auto"/>
            </w:tcBorders>
          </w:tcPr>
          <w:p w14:paraId="5D734A12"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94</w:t>
            </w:r>
          </w:p>
        </w:tc>
        <w:tc>
          <w:tcPr>
            <w:tcW w:w="1420" w:type="dxa"/>
            <w:tcBorders>
              <w:bottom w:val="single" w:sz="4" w:space="0" w:color="auto"/>
            </w:tcBorders>
          </w:tcPr>
          <w:p w14:paraId="5D734A13"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149</w:t>
            </w:r>
          </w:p>
        </w:tc>
        <w:tc>
          <w:tcPr>
            <w:tcW w:w="1364" w:type="dxa"/>
            <w:tcBorders>
              <w:bottom w:val="single" w:sz="4" w:space="0" w:color="auto"/>
            </w:tcBorders>
          </w:tcPr>
          <w:p w14:paraId="5D734A14"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221</w:t>
            </w:r>
          </w:p>
        </w:tc>
      </w:tr>
      <w:tr w:rsidR="00DB7F89" w:rsidRPr="00E879B5" w14:paraId="5D734A1D" w14:textId="77777777" w:rsidTr="006D7070">
        <w:trPr>
          <w:trHeight w:val="15"/>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nil"/>
            </w:tcBorders>
          </w:tcPr>
          <w:p w14:paraId="5D734A16" w14:textId="77777777" w:rsidR="00E879B5" w:rsidRPr="00DD7D43" w:rsidRDefault="00E879B5" w:rsidP="00E51250">
            <w:pPr>
              <w:spacing w:after="12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17 years and above*</w:t>
            </w:r>
          </w:p>
        </w:tc>
        <w:tc>
          <w:tcPr>
            <w:tcW w:w="1420" w:type="dxa"/>
            <w:tcBorders>
              <w:top w:val="single" w:sz="4" w:space="0" w:color="auto"/>
              <w:bottom w:val="nil"/>
            </w:tcBorders>
          </w:tcPr>
          <w:p w14:paraId="5D734A17"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107</w:t>
            </w:r>
          </w:p>
        </w:tc>
        <w:tc>
          <w:tcPr>
            <w:tcW w:w="1423" w:type="dxa"/>
            <w:tcBorders>
              <w:top w:val="single" w:sz="4" w:space="0" w:color="auto"/>
              <w:bottom w:val="nil"/>
            </w:tcBorders>
          </w:tcPr>
          <w:p w14:paraId="5D734A18"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168</w:t>
            </w:r>
          </w:p>
        </w:tc>
        <w:tc>
          <w:tcPr>
            <w:tcW w:w="1420" w:type="dxa"/>
            <w:tcBorders>
              <w:top w:val="single" w:sz="4" w:space="0" w:color="auto"/>
              <w:bottom w:val="nil"/>
            </w:tcBorders>
          </w:tcPr>
          <w:p w14:paraId="5D734A19"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57</w:t>
            </w:r>
          </w:p>
        </w:tc>
        <w:tc>
          <w:tcPr>
            <w:tcW w:w="1423" w:type="dxa"/>
            <w:tcBorders>
              <w:top w:val="single" w:sz="4" w:space="0" w:color="auto"/>
              <w:bottom w:val="nil"/>
            </w:tcBorders>
          </w:tcPr>
          <w:p w14:paraId="5D734A1A"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97</w:t>
            </w:r>
          </w:p>
        </w:tc>
        <w:tc>
          <w:tcPr>
            <w:tcW w:w="1420" w:type="dxa"/>
            <w:tcBorders>
              <w:top w:val="single" w:sz="4" w:space="0" w:color="auto"/>
              <w:bottom w:val="nil"/>
            </w:tcBorders>
          </w:tcPr>
          <w:p w14:paraId="5D734A1B"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178</w:t>
            </w:r>
          </w:p>
        </w:tc>
        <w:tc>
          <w:tcPr>
            <w:tcW w:w="1364" w:type="dxa"/>
            <w:tcBorders>
              <w:top w:val="single" w:sz="4" w:space="0" w:color="auto"/>
              <w:bottom w:val="nil"/>
            </w:tcBorders>
          </w:tcPr>
          <w:p w14:paraId="5D734A1C" w14:textId="77777777" w:rsidR="00E879B5" w:rsidRPr="00DD7D43"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DD7D43">
              <w:rPr>
                <w:rFonts w:ascii="Arial" w:eastAsia="Times New Roman" w:hAnsi="Arial" w:cs="Arial"/>
                <w:color w:val="000000"/>
                <w:sz w:val="20"/>
                <w:szCs w:val="20"/>
                <w:lang w:eastAsia="en-GB"/>
              </w:rPr>
              <w:t>265</w:t>
            </w:r>
          </w:p>
        </w:tc>
      </w:tr>
      <w:tr w:rsidR="00DB7F89" w:rsidRPr="00E879B5" w14:paraId="5D734A25" w14:textId="77777777" w:rsidTr="006D7070">
        <w:trPr>
          <w:trHeight w:val="15"/>
        </w:trPr>
        <w:tc>
          <w:tcPr>
            <w:cnfStyle w:val="001000000000" w:firstRow="0" w:lastRow="0" w:firstColumn="1" w:lastColumn="0" w:oddVBand="0" w:evenVBand="0" w:oddHBand="0" w:evenHBand="0" w:firstRowFirstColumn="0" w:firstRowLastColumn="0" w:lastRowFirstColumn="0" w:lastRowLastColumn="0"/>
            <w:tcW w:w="1530" w:type="dxa"/>
            <w:tcBorders>
              <w:top w:val="nil"/>
            </w:tcBorders>
          </w:tcPr>
          <w:p w14:paraId="5D734A1E" w14:textId="77777777" w:rsidR="00E879B5" w:rsidRPr="00D6796A" w:rsidRDefault="00E879B5" w:rsidP="00E51250">
            <w:pPr>
              <w:spacing w:after="120"/>
              <w:rPr>
                <w:rFonts w:ascii="Arial" w:eastAsia="Times New Roman" w:hAnsi="Arial" w:cs="Arial"/>
                <w:color w:val="auto"/>
                <w:sz w:val="20"/>
                <w:szCs w:val="20"/>
                <w:lang w:eastAsia="en-GB"/>
              </w:rPr>
            </w:pPr>
            <w:r w:rsidRPr="00D6796A">
              <w:rPr>
                <w:rFonts w:ascii="Arial" w:eastAsia="Times New Roman" w:hAnsi="Arial" w:cs="Arial"/>
                <w:color w:val="auto"/>
                <w:sz w:val="20"/>
                <w:szCs w:val="20"/>
                <w:lang w:eastAsia="en-GB"/>
              </w:rPr>
              <w:t>16-44 years</w:t>
            </w:r>
            <w:r w:rsidR="004C0820" w:rsidRPr="00D6796A">
              <w:rPr>
                <w:rFonts w:ascii="Arial" w:eastAsia="Times New Roman" w:hAnsi="Arial" w:cs="Arial"/>
                <w:color w:val="auto"/>
                <w:sz w:val="20"/>
                <w:szCs w:val="20"/>
                <w:lang w:eastAsia="en-GB"/>
              </w:rPr>
              <w:t>*</w:t>
            </w:r>
            <w:r w:rsidRPr="00D6796A">
              <w:rPr>
                <w:rFonts w:ascii="Arial" w:eastAsia="Times New Roman" w:hAnsi="Arial" w:cs="Arial"/>
                <w:color w:val="auto"/>
                <w:sz w:val="20"/>
                <w:szCs w:val="20"/>
                <w:lang w:eastAsia="en-GB"/>
              </w:rPr>
              <w:t xml:space="preserve">  (Females)</w:t>
            </w:r>
          </w:p>
        </w:tc>
        <w:tc>
          <w:tcPr>
            <w:tcW w:w="1420" w:type="dxa"/>
            <w:tcBorders>
              <w:top w:val="nil"/>
            </w:tcBorders>
          </w:tcPr>
          <w:p w14:paraId="5D734A1F"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98</w:t>
            </w:r>
          </w:p>
        </w:tc>
        <w:tc>
          <w:tcPr>
            <w:tcW w:w="1423" w:type="dxa"/>
            <w:tcBorders>
              <w:top w:val="nil"/>
            </w:tcBorders>
          </w:tcPr>
          <w:p w14:paraId="5D734A20"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149</w:t>
            </w:r>
          </w:p>
        </w:tc>
        <w:tc>
          <w:tcPr>
            <w:tcW w:w="1420" w:type="dxa"/>
            <w:tcBorders>
              <w:top w:val="nil"/>
            </w:tcBorders>
          </w:tcPr>
          <w:p w14:paraId="5D734A21"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52</w:t>
            </w:r>
          </w:p>
        </w:tc>
        <w:tc>
          <w:tcPr>
            <w:tcW w:w="1423" w:type="dxa"/>
            <w:tcBorders>
              <w:top w:val="nil"/>
            </w:tcBorders>
          </w:tcPr>
          <w:p w14:paraId="5D734A22"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90</w:t>
            </w:r>
          </w:p>
        </w:tc>
        <w:tc>
          <w:tcPr>
            <w:tcW w:w="1420" w:type="dxa"/>
            <w:tcBorders>
              <w:top w:val="nil"/>
            </w:tcBorders>
          </w:tcPr>
          <w:p w14:paraId="5D734A23"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157</w:t>
            </w:r>
          </w:p>
        </w:tc>
        <w:tc>
          <w:tcPr>
            <w:tcW w:w="1364" w:type="dxa"/>
            <w:tcBorders>
              <w:top w:val="nil"/>
            </w:tcBorders>
          </w:tcPr>
          <w:p w14:paraId="5D734A24" w14:textId="77777777" w:rsidR="00E879B5" w:rsidRPr="00D6796A" w:rsidRDefault="00E879B5" w:rsidP="00CC519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D6796A">
              <w:rPr>
                <w:rFonts w:ascii="Arial" w:hAnsi="Arial" w:cs="Arial"/>
                <w:b/>
                <w:color w:val="auto"/>
                <w:sz w:val="20"/>
                <w:szCs w:val="20"/>
              </w:rPr>
              <w:t>217</w:t>
            </w:r>
          </w:p>
        </w:tc>
      </w:tr>
    </w:tbl>
    <w:p w14:paraId="5D734A26" w14:textId="77777777" w:rsidR="00416E99" w:rsidRDefault="00D30256" w:rsidP="00416E99">
      <w:pPr>
        <w:spacing w:after="0"/>
        <w:rPr>
          <w:rFonts w:ascii="Arial" w:hAnsi="Arial" w:cs="Arial"/>
          <w:sz w:val="18"/>
          <w:szCs w:val="18"/>
          <w:lang w:val="en-AU" w:eastAsia="en-AU"/>
        </w:rPr>
      </w:pPr>
      <w:r>
        <w:rPr>
          <w:rFonts w:ascii="Arial" w:hAnsi="Arial" w:cs="Arial"/>
          <w:sz w:val="18"/>
          <w:szCs w:val="18"/>
          <w:lang w:val="en-AU" w:eastAsia="en-AU"/>
        </w:rPr>
        <w:t>#E</w:t>
      </w:r>
      <w:r w:rsidR="004C0820" w:rsidRPr="00D30256">
        <w:rPr>
          <w:rFonts w:ascii="Arial" w:hAnsi="Arial" w:cs="Arial"/>
          <w:sz w:val="18"/>
          <w:szCs w:val="18"/>
          <w:lang w:val="en-AU" w:eastAsia="en-AU"/>
        </w:rPr>
        <w:t>stimates for age group derived using the 2007 ANCNPAS (includes quantified salt consumption)</w:t>
      </w:r>
      <w:r w:rsidR="00840CE7">
        <w:rPr>
          <w:rFonts w:ascii="Arial" w:hAnsi="Arial" w:cs="Arial"/>
          <w:sz w:val="18"/>
          <w:szCs w:val="18"/>
          <w:lang w:val="en-AU" w:eastAsia="en-AU"/>
        </w:rPr>
        <w:t xml:space="preserve">, </w:t>
      </w:r>
      <w:r w:rsidR="00840CE7">
        <w:rPr>
          <w:rFonts w:ascii="Arial" w:hAnsi="Arial" w:cs="Arial"/>
          <w:sz w:val="18"/>
          <w:szCs w:val="18"/>
        </w:rPr>
        <w:t>2</w:t>
      </w:r>
      <w:r w:rsidR="00840CE7" w:rsidRPr="00675D65">
        <w:rPr>
          <w:rFonts w:ascii="Arial" w:hAnsi="Arial" w:cs="Arial"/>
          <w:sz w:val="18"/>
          <w:szCs w:val="18"/>
          <w:vertAlign w:val="superscript"/>
        </w:rPr>
        <w:t>nd</w:t>
      </w:r>
      <w:r w:rsidR="00840CE7">
        <w:rPr>
          <w:rFonts w:ascii="Arial" w:hAnsi="Arial" w:cs="Arial"/>
          <w:sz w:val="18"/>
          <w:szCs w:val="18"/>
        </w:rPr>
        <w:t xml:space="preserve"> day adjusted usual intake estimates</w:t>
      </w:r>
      <w:r w:rsidR="00840CE7">
        <w:rPr>
          <w:rFonts w:ascii="Arial" w:hAnsi="Arial" w:cs="Arial"/>
          <w:sz w:val="18"/>
          <w:szCs w:val="18"/>
          <w:lang w:val="en-AU" w:eastAsia="en-AU"/>
        </w:rPr>
        <w:t>.</w:t>
      </w:r>
    </w:p>
    <w:p w14:paraId="5D734A27" w14:textId="77777777" w:rsidR="005E3AB6" w:rsidRDefault="004C0820" w:rsidP="00D013B3">
      <w:pPr>
        <w:spacing w:after="0"/>
        <w:rPr>
          <w:rFonts w:ascii="Arial" w:hAnsi="Arial" w:cs="Arial"/>
          <w:sz w:val="18"/>
          <w:szCs w:val="18"/>
          <w:lang w:val="en-AU" w:eastAsia="en-AU"/>
        </w:rPr>
      </w:pPr>
      <w:r w:rsidRPr="00D30256">
        <w:rPr>
          <w:rFonts w:ascii="Arial" w:hAnsi="Arial" w:cs="Arial"/>
          <w:sz w:val="18"/>
          <w:szCs w:val="18"/>
          <w:lang w:val="en-AU" w:eastAsia="en-AU"/>
        </w:rPr>
        <w:t>*Estimates for age group derived using the 1995</w:t>
      </w:r>
      <w:r w:rsidR="00925FD5">
        <w:rPr>
          <w:rFonts w:ascii="Arial" w:hAnsi="Arial" w:cs="Arial"/>
          <w:sz w:val="18"/>
          <w:szCs w:val="18"/>
          <w:lang w:val="en-AU" w:eastAsia="en-AU"/>
        </w:rPr>
        <w:t xml:space="preserve"> </w:t>
      </w:r>
      <w:r w:rsidRPr="00D30256">
        <w:rPr>
          <w:rFonts w:ascii="Arial" w:hAnsi="Arial" w:cs="Arial"/>
          <w:sz w:val="18"/>
          <w:szCs w:val="18"/>
          <w:lang w:val="en-AU" w:eastAsia="en-AU"/>
        </w:rPr>
        <w:t>National Nutrition Survey</w:t>
      </w:r>
      <w:r w:rsidR="00840CE7">
        <w:rPr>
          <w:rFonts w:ascii="Arial" w:hAnsi="Arial" w:cs="Arial"/>
          <w:sz w:val="18"/>
          <w:szCs w:val="18"/>
          <w:lang w:val="en-AU" w:eastAsia="en-AU"/>
        </w:rPr>
        <w:t xml:space="preserve">, </w:t>
      </w:r>
      <w:r w:rsidR="00840CE7">
        <w:rPr>
          <w:rFonts w:ascii="Arial" w:hAnsi="Arial" w:cs="Arial"/>
          <w:sz w:val="18"/>
          <w:szCs w:val="18"/>
        </w:rPr>
        <w:t>2</w:t>
      </w:r>
      <w:r w:rsidR="00840CE7" w:rsidRPr="00675D65">
        <w:rPr>
          <w:rFonts w:ascii="Arial" w:hAnsi="Arial" w:cs="Arial"/>
          <w:sz w:val="18"/>
          <w:szCs w:val="18"/>
          <w:vertAlign w:val="superscript"/>
        </w:rPr>
        <w:t>nd</w:t>
      </w:r>
      <w:r w:rsidR="00840CE7">
        <w:rPr>
          <w:rFonts w:ascii="Arial" w:hAnsi="Arial" w:cs="Arial"/>
          <w:sz w:val="18"/>
          <w:szCs w:val="18"/>
        </w:rPr>
        <w:t xml:space="preserve"> day adjusted usual intake estimates</w:t>
      </w:r>
      <w:r w:rsidR="00840CE7">
        <w:rPr>
          <w:rFonts w:ascii="Arial" w:hAnsi="Arial" w:cs="Arial"/>
          <w:sz w:val="18"/>
          <w:szCs w:val="18"/>
          <w:lang w:val="en-AU" w:eastAsia="en-AU"/>
        </w:rPr>
        <w:t>.</w:t>
      </w:r>
    </w:p>
    <w:p w14:paraId="5D734A28" w14:textId="77777777" w:rsidR="00E51250" w:rsidRPr="0047625E" w:rsidRDefault="00E51250" w:rsidP="00CC5193">
      <w:pPr>
        <w:rPr>
          <w:rFonts w:ascii="Arial" w:hAnsi="Arial" w:cs="Arial"/>
          <w:sz w:val="18"/>
          <w:szCs w:val="18"/>
          <w:lang w:val="en-AU" w:eastAsia="en-AU"/>
        </w:rPr>
      </w:pPr>
    </w:p>
    <w:p w14:paraId="5D734A29" w14:textId="77777777" w:rsidR="000A650D" w:rsidRPr="000A650D" w:rsidRDefault="000A650D" w:rsidP="00B85392">
      <w:pPr>
        <w:pStyle w:val="Heading2"/>
        <w:ind w:left="564" w:hanging="564"/>
        <w:rPr>
          <w:lang w:val="en-AU"/>
        </w:rPr>
      </w:pPr>
      <w:bookmarkStart w:id="30" w:name="_Toc430854512"/>
      <w:r w:rsidRPr="000A650D">
        <w:rPr>
          <w:lang w:val="en-AU"/>
        </w:rPr>
        <w:t>6.4</w:t>
      </w:r>
      <w:r w:rsidRPr="000A650D">
        <w:rPr>
          <w:lang w:val="en-AU"/>
        </w:rPr>
        <w:tab/>
        <w:t xml:space="preserve">Proportion of </w:t>
      </w:r>
      <w:r w:rsidR="0042362E">
        <w:rPr>
          <w:lang w:val="en-AU"/>
        </w:rPr>
        <w:t>Australians</w:t>
      </w:r>
      <w:r w:rsidRPr="000A650D">
        <w:rPr>
          <w:lang w:val="en-AU"/>
        </w:rPr>
        <w:t xml:space="preserve"> with dietary iodine intake</w:t>
      </w:r>
      <w:r w:rsidR="00E32197">
        <w:rPr>
          <w:lang w:val="en-AU"/>
        </w:rPr>
        <w:t>s</w:t>
      </w:r>
      <w:r w:rsidR="00E32197" w:rsidRPr="00E32197">
        <w:rPr>
          <w:lang w:val="en-AU"/>
        </w:rPr>
        <w:t xml:space="preserve"> </w:t>
      </w:r>
      <w:r w:rsidR="00E32197">
        <w:rPr>
          <w:lang w:val="en-AU"/>
        </w:rPr>
        <w:t>outside of the relevant nutrient reference values</w:t>
      </w:r>
      <w:bookmarkEnd w:id="30"/>
    </w:p>
    <w:p w14:paraId="5D734A2A" w14:textId="77777777" w:rsidR="00DB7F89" w:rsidRPr="000D4CF6" w:rsidRDefault="000D4CF6" w:rsidP="00CC5193">
      <w:pPr>
        <w:rPr>
          <w:rFonts w:ascii="Arial" w:hAnsi="Arial" w:cs="Arial"/>
          <w:sz w:val="22"/>
        </w:rPr>
      </w:pPr>
      <w:r w:rsidRPr="000D4CF6">
        <w:rPr>
          <w:rFonts w:ascii="Arial" w:hAnsi="Arial" w:cs="Arial"/>
          <w:sz w:val="22"/>
        </w:rPr>
        <w:t>The dietary exposure assessment that FSANZ undertook to determine the Australian population’s intake of iodine following fortification of bread</w:t>
      </w:r>
      <w:r>
        <w:rPr>
          <w:rFonts w:ascii="Arial" w:hAnsi="Arial" w:cs="Arial"/>
          <w:sz w:val="22"/>
        </w:rPr>
        <w:t>,</w:t>
      </w:r>
      <w:r w:rsidRPr="000D4CF6">
        <w:rPr>
          <w:rFonts w:ascii="Arial" w:hAnsi="Arial" w:cs="Arial"/>
          <w:sz w:val="22"/>
        </w:rPr>
        <w:t xml:space="preserve"> also estimated the proportion of the target groups and other population age groups with dietary </w:t>
      </w:r>
      <w:r w:rsidR="00840CE7">
        <w:rPr>
          <w:rFonts w:ascii="Arial" w:hAnsi="Arial" w:cs="Arial"/>
          <w:sz w:val="22"/>
        </w:rPr>
        <w:t xml:space="preserve">usual </w:t>
      </w:r>
      <w:r w:rsidRPr="000D4CF6">
        <w:rPr>
          <w:rFonts w:ascii="Arial" w:hAnsi="Arial" w:cs="Arial"/>
          <w:sz w:val="22"/>
        </w:rPr>
        <w:t xml:space="preserve">iodine intakes below the </w:t>
      </w:r>
      <w:r w:rsidR="00572D0E">
        <w:rPr>
          <w:rFonts w:ascii="Arial" w:hAnsi="Arial" w:cs="Arial"/>
          <w:sz w:val="22"/>
        </w:rPr>
        <w:t>Estimated Average Requirement</w:t>
      </w:r>
      <w:r>
        <w:rPr>
          <w:rStyle w:val="FootnoteReference"/>
          <w:rFonts w:ascii="Arial" w:hAnsi="Arial" w:cs="Arial"/>
          <w:sz w:val="22"/>
        </w:rPr>
        <w:footnoteReference w:id="5"/>
      </w:r>
      <w:r w:rsidRPr="000D4CF6">
        <w:rPr>
          <w:rFonts w:ascii="Arial" w:hAnsi="Arial" w:cs="Arial"/>
          <w:sz w:val="22"/>
        </w:rPr>
        <w:t xml:space="preserve"> and above the </w:t>
      </w:r>
      <w:r w:rsidR="00572D0E">
        <w:rPr>
          <w:rFonts w:ascii="Arial" w:hAnsi="Arial" w:cs="Arial"/>
          <w:sz w:val="22"/>
        </w:rPr>
        <w:t>Upper Level of Intake</w:t>
      </w:r>
      <w:r>
        <w:rPr>
          <w:rStyle w:val="FootnoteReference"/>
          <w:rFonts w:ascii="Arial" w:hAnsi="Arial" w:cs="Arial"/>
          <w:sz w:val="22"/>
        </w:rPr>
        <w:footnoteReference w:id="6"/>
      </w:r>
      <w:r w:rsidRPr="000D4CF6">
        <w:rPr>
          <w:rFonts w:ascii="Arial" w:hAnsi="Arial" w:cs="Arial"/>
          <w:sz w:val="22"/>
        </w:rPr>
        <w:t xml:space="preserve"> values.</w:t>
      </w:r>
    </w:p>
    <w:p w14:paraId="5D734A2B" w14:textId="77777777" w:rsidR="00DB7F89" w:rsidRDefault="00DB7F89" w:rsidP="00CC5193">
      <w:pPr>
        <w:pStyle w:val="Caption"/>
        <w:spacing w:after="200" w:line="276" w:lineRule="auto"/>
      </w:pPr>
      <w:r w:rsidRPr="00DB7F89">
        <w:rPr>
          <w:noProof/>
          <w:lang w:val="en-GB" w:eastAsia="en-GB"/>
        </w:rPr>
        <w:lastRenderedPageBreak/>
        <w:drawing>
          <wp:inline distT="0" distB="0" distL="0" distR="0" wp14:anchorId="5D734D6B" wp14:editId="5C00D31B">
            <wp:extent cx="6109262" cy="3540641"/>
            <wp:effectExtent l="0" t="0" r="6350" b="3175"/>
            <wp:docPr id="22" name="Picture 22" title="Figure 4: Estimated proportion of Australians with inadequate dietary iodine intake (below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8860" cy="3546204"/>
                    </a:xfrm>
                    <a:prstGeom prst="rect">
                      <a:avLst/>
                    </a:prstGeom>
                    <a:noFill/>
                    <a:ln>
                      <a:noFill/>
                    </a:ln>
                  </pic:spPr>
                </pic:pic>
              </a:graphicData>
            </a:graphic>
          </wp:inline>
        </w:drawing>
      </w:r>
    </w:p>
    <w:p w14:paraId="5D734A2C" w14:textId="77777777" w:rsidR="003E39E8" w:rsidRPr="008B4FE5" w:rsidRDefault="00C36B01" w:rsidP="008B4FE5">
      <w:pPr>
        <w:pStyle w:val="Caption"/>
        <w:spacing w:after="200" w:line="276" w:lineRule="auto"/>
        <w:rPr>
          <w:sz w:val="20"/>
        </w:rPr>
      </w:pPr>
      <w:bookmarkStart w:id="31" w:name="_Toc430854550"/>
      <w:r w:rsidRPr="004C7109">
        <w:rPr>
          <w:sz w:val="20"/>
        </w:rPr>
        <w:t xml:space="preserve">Figure </w:t>
      </w:r>
      <w:r w:rsidR="00020FAE" w:rsidRPr="004C7109">
        <w:rPr>
          <w:sz w:val="20"/>
        </w:rPr>
        <w:fldChar w:fldCharType="begin"/>
      </w:r>
      <w:r w:rsidR="00020FAE" w:rsidRPr="004C7109">
        <w:rPr>
          <w:sz w:val="20"/>
        </w:rPr>
        <w:instrText xml:space="preserve"> SEQ Figure \* ARABIC </w:instrText>
      </w:r>
      <w:r w:rsidR="00020FAE" w:rsidRPr="004C7109">
        <w:rPr>
          <w:sz w:val="20"/>
        </w:rPr>
        <w:fldChar w:fldCharType="separate"/>
      </w:r>
      <w:r w:rsidR="00A41217">
        <w:rPr>
          <w:noProof/>
          <w:sz w:val="20"/>
        </w:rPr>
        <w:t>4</w:t>
      </w:r>
      <w:r w:rsidR="00020FAE" w:rsidRPr="004C7109">
        <w:rPr>
          <w:noProof/>
          <w:sz w:val="20"/>
        </w:rPr>
        <w:fldChar w:fldCharType="end"/>
      </w:r>
      <w:r w:rsidRPr="004C7109">
        <w:rPr>
          <w:sz w:val="20"/>
        </w:rPr>
        <w:t xml:space="preserve">: Estimated proportion of Australians with inadequate dietary iodine intake </w:t>
      </w:r>
      <w:r w:rsidR="00523DA9">
        <w:rPr>
          <w:sz w:val="20"/>
        </w:rPr>
        <w:t>(</w:t>
      </w:r>
      <w:r w:rsidR="005A4D55">
        <w:rPr>
          <w:sz w:val="20"/>
        </w:rPr>
        <w:t>b</w:t>
      </w:r>
      <w:r w:rsidR="00523DA9">
        <w:rPr>
          <w:sz w:val="20"/>
        </w:rPr>
        <w:t>elow EAR)</w:t>
      </w:r>
      <w:bookmarkEnd w:id="31"/>
    </w:p>
    <w:p w14:paraId="5D734A2D" w14:textId="77777777" w:rsidR="005F7CE6" w:rsidRDefault="005F7CE6" w:rsidP="00622A8C">
      <w:pPr>
        <w:pStyle w:val="Heading3"/>
      </w:pPr>
      <w:bookmarkStart w:id="32" w:name="_Toc430854513"/>
      <w:r>
        <w:t>6.4.1</w:t>
      </w:r>
      <w:r>
        <w:tab/>
      </w:r>
      <w:r w:rsidR="00C45225">
        <w:t>Usual i</w:t>
      </w:r>
      <w:r>
        <w:t>ntake estimates below the estimated average requirement (EAR)</w:t>
      </w:r>
      <w:bookmarkEnd w:id="32"/>
    </w:p>
    <w:p w14:paraId="5D734A2E" w14:textId="77777777" w:rsidR="00517AAF" w:rsidRPr="008B4FE5" w:rsidRDefault="00DB7F89" w:rsidP="008B4FE5">
      <w:pPr>
        <w:rPr>
          <w:rFonts w:ascii="Arial" w:hAnsi="Arial" w:cs="Arial"/>
          <w:sz w:val="22"/>
        </w:rPr>
      </w:pPr>
      <w:r w:rsidRPr="004A4838">
        <w:rPr>
          <w:rFonts w:ascii="Arial" w:hAnsi="Arial" w:cs="Arial"/>
          <w:sz w:val="22"/>
        </w:rPr>
        <w:t xml:space="preserve">The proportion of the population with </w:t>
      </w:r>
      <w:r w:rsidR="00C45225">
        <w:rPr>
          <w:rFonts w:ascii="Arial" w:hAnsi="Arial" w:cs="Arial"/>
          <w:sz w:val="22"/>
        </w:rPr>
        <w:t>usual</w:t>
      </w:r>
      <w:r w:rsidR="00C45225" w:rsidRPr="004A4838">
        <w:rPr>
          <w:rFonts w:ascii="Arial" w:hAnsi="Arial" w:cs="Arial"/>
          <w:sz w:val="22"/>
        </w:rPr>
        <w:t xml:space="preserve"> </w:t>
      </w:r>
      <w:r w:rsidRPr="004A4838">
        <w:rPr>
          <w:rFonts w:ascii="Arial" w:hAnsi="Arial" w:cs="Arial"/>
          <w:sz w:val="22"/>
        </w:rPr>
        <w:t>iodine</w:t>
      </w:r>
      <w:r w:rsidR="0077343C">
        <w:rPr>
          <w:rFonts w:ascii="Arial" w:hAnsi="Arial" w:cs="Arial"/>
          <w:sz w:val="22"/>
        </w:rPr>
        <w:t xml:space="preserve"> intakes below the EAR </w:t>
      </w:r>
      <w:r w:rsidR="00925FD5">
        <w:rPr>
          <w:rFonts w:ascii="Arial" w:hAnsi="Arial" w:cs="Arial"/>
          <w:sz w:val="22"/>
        </w:rPr>
        <w:t xml:space="preserve">indicates </w:t>
      </w:r>
      <w:r w:rsidR="004A4838" w:rsidRPr="004A4838">
        <w:rPr>
          <w:rFonts w:ascii="Arial" w:hAnsi="Arial" w:cs="Arial"/>
          <w:sz w:val="22"/>
        </w:rPr>
        <w:t>prevalence</w:t>
      </w:r>
      <w:r w:rsidRPr="004A4838">
        <w:rPr>
          <w:rFonts w:ascii="Arial" w:hAnsi="Arial" w:cs="Arial"/>
          <w:sz w:val="22"/>
        </w:rPr>
        <w:t xml:space="preserve"> of inadequate iodine intake levels, while the proportion</w:t>
      </w:r>
      <w:r w:rsidR="0077343C">
        <w:rPr>
          <w:rFonts w:ascii="Arial" w:hAnsi="Arial" w:cs="Arial"/>
          <w:sz w:val="22"/>
        </w:rPr>
        <w:t xml:space="preserve"> with intakes above UL </w:t>
      </w:r>
      <w:r w:rsidR="00925FD5">
        <w:rPr>
          <w:rFonts w:ascii="Arial" w:hAnsi="Arial" w:cs="Arial"/>
          <w:sz w:val="22"/>
        </w:rPr>
        <w:t xml:space="preserve">indicates </w:t>
      </w:r>
      <w:r w:rsidR="0077343C">
        <w:rPr>
          <w:rFonts w:ascii="Arial" w:hAnsi="Arial" w:cs="Arial"/>
          <w:sz w:val="22"/>
        </w:rPr>
        <w:t xml:space="preserve">the proportion at </w:t>
      </w:r>
      <w:r w:rsidRPr="004A4838">
        <w:rPr>
          <w:rFonts w:ascii="Arial" w:hAnsi="Arial" w:cs="Arial"/>
          <w:sz w:val="22"/>
        </w:rPr>
        <w:t>potential risk of adverse health effec</w:t>
      </w:r>
      <w:r w:rsidR="0077343C">
        <w:rPr>
          <w:rFonts w:ascii="Arial" w:hAnsi="Arial" w:cs="Arial"/>
          <w:sz w:val="22"/>
        </w:rPr>
        <w:t>ts from excessive iodine intake</w:t>
      </w:r>
      <w:r w:rsidRPr="004A4838">
        <w:rPr>
          <w:rFonts w:ascii="Arial" w:hAnsi="Arial" w:cs="Arial"/>
          <w:sz w:val="22"/>
        </w:rPr>
        <w:t>.</w:t>
      </w:r>
      <w:r w:rsidR="004A4838" w:rsidRPr="004A4838">
        <w:rPr>
          <w:rFonts w:ascii="Arial" w:hAnsi="Arial" w:cs="Arial"/>
          <w:sz w:val="22"/>
        </w:rPr>
        <w:t xml:space="preserve"> Figure </w:t>
      </w:r>
      <w:r w:rsidR="00F76694">
        <w:rPr>
          <w:rFonts w:ascii="Arial" w:hAnsi="Arial" w:cs="Arial"/>
          <w:sz w:val="22"/>
        </w:rPr>
        <w:t>4</w:t>
      </w:r>
      <w:r w:rsidR="00F76694" w:rsidRPr="004A4838">
        <w:rPr>
          <w:rFonts w:ascii="Arial" w:hAnsi="Arial" w:cs="Arial"/>
          <w:sz w:val="22"/>
        </w:rPr>
        <w:t xml:space="preserve"> </w:t>
      </w:r>
      <w:r w:rsidR="004A4838" w:rsidRPr="004A4838">
        <w:rPr>
          <w:rFonts w:ascii="Arial" w:hAnsi="Arial" w:cs="Arial"/>
          <w:sz w:val="22"/>
        </w:rPr>
        <w:t xml:space="preserve">and Table </w:t>
      </w:r>
      <w:r w:rsidR="00DA4F8C">
        <w:rPr>
          <w:rFonts w:ascii="Arial" w:hAnsi="Arial" w:cs="Arial"/>
          <w:sz w:val="22"/>
        </w:rPr>
        <w:t>6</w:t>
      </w:r>
      <w:r w:rsidR="004A4838" w:rsidRPr="004A4838">
        <w:rPr>
          <w:rFonts w:ascii="Arial" w:hAnsi="Arial" w:cs="Arial"/>
          <w:sz w:val="22"/>
        </w:rPr>
        <w:t xml:space="preserve"> </w:t>
      </w:r>
      <w:r w:rsidR="0077343C">
        <w:rPr>
          <w:rFonts w:ascii="Arial" w:hAnsi="Arial" w:cs="Arial"/>
          <w:sz w:val="22"/>
        </w:rPr>
        <w:t xml:space="preserve">show the estimated </w:t>
      </w:r>
      <w:r w:rsidR="00BB14B8">
        <w:rPr>
          <w:rFonts w:ascii="Arial" w:hAnsi="Arial" w:cs="Arial"/>
          <w:sz w:val="22"/>
        </w:rPr>
        <w:t>proportions</w:t>
      </w:r>
      <w:r w:rsidR="0077343C">
        <w:rPr>
          <w:rFonts w:ascii="Arial" w:hAnsi="Arial" w:cs="Arial"/>
          <w:sz w:val="22"/>
        </w:rPr>
        <w:t xml:space="preserve"> of the population by age group</w:t>
      </w:r>
      <w:r w:rsidR="00BB14B8">
        <w:rPr>
          <w:rFonts w:ascii="Arial" w:hAnsi="Arial" w:cs="Arial"/>
          <w:sz w:val="22"/>
        </w:rPr>
        <w:t xml:space="preserve"> </w:t>
      </w:r>
      <w:r w:rsidR="0077343C">
        <w:rPr>
          <w:rFonts w:ascii="Arial" w:hAnsi="Arial" w:cs="Arial"/>
          <w:sz w:val="22"/>
        </w:rPr>
        <w:t xml:space="preserve">in these situations </w:t>
      </w:r>
      <w:r w:rsidR="004A4838">
        <w:rPr>
          <w:rFonts w:ascii="Arial" w:hAnsi="Arial" w:cs="Arial"/>
          <w:sz w:val="22"/>
        </w:rPr>
        <w:t>before and after fortification</w:t>
      </w:r>
      <w:r w:rsidR="0077343C">
        <w:rPr>
          <w:rFonts w:ascii="Arial" w:hAnsi="Arial" w:cs="Arial"/>
          <w:sz w:val="22"/>
        </w:rPr>
        <w:t>.</w:t>
      </w:r>
      <w:r w:rsidR="004A4838">
        <w:rPr>
          <w:rFonts w:ascii="Arial" w:hAnsi="Arial" w:cs="Arial"/>
          <w:sz w:val="22"/>
        </w:rPr>
        <w:t xml:space="preserve"> </w:t>
      </w:r>
      <w:r w:rsidR="0077343C">
        <w:rPr>
          <w:rFonts w:ascii="Arial" w:hAnsi="Arial" w:cs="Arial"/>
          <w:sz w:val="22"/>
        </w:rPr>
        <w:t>They</w:t>
      </w:r>
      <w:r w:rsidR="004A4838">
        <w:rPr>
          <w:rFonts w:ascii="Arial" w:hAnsi="Arial" w:cs="Arial"/>
          <w:sz w:val="22"/>
        </w:rPr>
        <w:t xml:space="preserve"> </w:t>
      </w:r>
      <w:r w:rsidR="004A4838" w:rsidRPr="004A4838">
        <w:rPr>
          <w:rFonts w:ascii="Arial" w:hAnsi="Arial" w:cs="Arial"/>
          <w:sz w:val="22"/>
        </w:rPr>
        <w:t xml:space="preserve">clearly </w:t>
      </w:r>
      <w:r w:rsidR="004A4838">
        <w:rPr>
          <w:rFonts w:ascii="Arial" w:hAnsi="Arial" w:cs="Arial"/>
          <w:sz w:val="22"/>
        </w:rPr>
        <w:t>demonstrate</w:t>
      </w:r>
      <w:r w:rsidR="004A4838" w:rsidRPr="004A4838">
        <w:rPr>
          <w:rFonts w:ascii="Arial" w:hAnsi="Arial" w:cs="Arial"/>
          <w:sz w:val="22"/>
        </w:rPr>
        <w:t xml:space="preserve"> that following mandatory fortification of bread with iodine, the proportion of the </w:t>
      </w:r>
      <w:r w:rsidR="0077343C">
        <w:rPr>
          <w:rFonts w:ascii="Arial" w:hAnsi="Arial" w:cs="Arial"/>
          <w:sz w:val="22"/>
        </w:rPr>
        <w:t xml:space="preserve">different </w:t>
      </w:r>
      <w:r w:rsidR="004A4838" w:rsidRPr="004A4838">
        <w:rPr>
          <w:rFonts w:ascii="Arial" w:hAnsi="Arial" w:cs="Arial"/>
          <w:sz w:val="22"/>
        </w:rPr>
        <w:t xml:space="preserve">population age groups </w:t>
      </w:r>
      <w:r w:rsidR="007E0901">
        <w:rPr>
          <w:rFonts w:ascii="Arial" w:hAnsi="Arial" w:cs="Arial"/>
          <w:sz w:val="22"/>
        </w:rPr>
        <w:t xml:space="preserve">estimated to have </w:t>
      </w:r>
      <w:r w:rsidR="004A4838" w:rsidRPr="004A4838">
        <w:rPr>
          <w:rFonts w:ascii="Arial" w:hAnsi="Arial" w:cs="Arial"/>
          <w:sz w:val="22"/>
        </w:rPr>
        <w:t>ina</w:t>
      </w:r>
      <w:r w:rsidR="004A4838">
        <w:rPr>
          <w:rFonts w:ascii="Arial" w:hAnsi="Arial" w:cs="Arial"/>
          <w:sz w:val="22"/>
        </w:rPr>
        <w:t>dequate iodine intake decreased</w:t>
      </w:r>
      <w:r w:rsidR="005A4D55">
        <w:rPr>
          <w:rFonts w:ascii="Arial" w:hAnsi="Arial" w:cs="Arial"/>
          <w:sz w:val="22"/>
        </w:rPr>
        <w:t xml:space="preserve"> that was</w:t>
      </w:r>
      <w:r w:rsidR="004A4838">
        <w:rPr>
          <w:rFonts w:ascii="Arial" w:hAnsi="Arial" w:cs="Arial"/>
          <w:sz w:val="22"/>
        </w:rPr>
        <w:t xml:space="preserve"> </w:t>
      </w:r>
      <w:r w:rsidR="005A4D55" w:rsidRPr="004A4838">
        <w:rPr>
          <w:rFonts w:ascii="Arial" w:hAnsi="Arial" w:cs="Arial"/>
          <w:sz w:val="22"/>
        </w:rPr>
        <w:t>irrespective of the assessment model used</w:t>
      </w:r>
      <w:r w:rsidR="005A4D55">
        <w:rPr>
          <w:rFonts w:ascii="Arial" w:hAnsi="Arial" w:cs="Arial"/>
          <w:sz w:val="22"/>
        </w:rPr>
        <w:t xml:space="preserve"> (market-weighted/consumer model), see </w:t>
      </w:r>
      <w:r w:rsidR="004A4838">
        <w:rPr>
          <w:rFonts w:ascii="Arial" w:hAnsi="Arial" w:cs="Arial"/>
          <w:sz w:val="22"/>
        </w:rPr>
        <w:t xml:space="preserve">Table </w:t>
      </w:r>
      <w:r w:rsidR="00DA4F8C">
        <w:rPr>
          <w:rFonts w:ascii="Arial" w:hAnsi="Arial" w:cs="Arial"/>
          <w:sz w:val="22"/>
        </w:rPr>
        <w:t>6</w:t>
      </w:r>
      <w:r w:rsidR="005A4D55">
        <w:rPr>
          <w:rFonts w:ascii="Arial" w:hAnsi="Arial" w:cs="Arial"/>
          <w:sz w:val="22"/>
        </w:rPr>
        <w:t>.</w:t>
      </w:r>
      <w:r w:rsidR="004A4838">
        <w:rPr>
          <w:rFonts w:ascii="Arial" w:hAnsi="Arial" w:cs="Arial"/>
          <w:sz w:val="22"/>
        </w:rPr>
        <w:t xml:space="preserve"> </w:t>
      </w:r>
      <w:r w:rsidR="009015C1">
        <w:rPr>
          <w:rFonts w:ascii="Arial" w:hAnsi="Arial" w:cs="Arial"/>
          <w:sz w:val="22"/>
        </w:rPr>
        <w:t>Figure 4</w:t>
      </w:r>
      <w:r w:rsidR="00BB14B8">
        <w:rPr>
          <w:rFonts w:ascii="Arial" w:hAnsi="Arial" w:cs="Arial"/>
          <w:sz w:val="22"/>
        </w:rPr>
        <w:t xml:space="preserve"> is based on estimated values from the market weighted model</w:t>
      </w:r>
      <w:r w:rsidR="00137CEC">
        <w:rPr>
          <w:rFonts w:ascii="Arial" w:hAnsi="Arial" w:cs="Arial"/>
          <w:sz w:val="22"/>
        </w:rPr>
        <w:t xml:space="preserve"> </w:t>
      </w:r>
      <w:r w:rsidR="00925FD5">
        <w:rPr>
          <w:rFonts w:ascii="Arial" w:hAnsi="Arial" w:cs="Arial"/>
          <w:sz w:val="22"/>
        </w:rPr>
        <w:t>with</w:t>
      </w:r>
      <w:r w:rsidR="00137CEC">
        <w:rPr>
          <w:rFonts w:ascii="Arial" w:hAnsi="Arial" w:cs="Arial"/>
          <w:sz w:val="22"/>
        </w:rPr>
        <w:t xml:space="preserve"> values rounded to the nearest whole numbe</w:t>
      </w:r>
      <w:r w:rsidR="00D12D58">
        <w:rPr>
          <w:rFonts w:ascii="Arial" w:hAnsi="Arial" w:cs="Arial"/>
          <w:sz w:val="22"/>
        </w:rPr>
        <w:t>r (values between 1 to</w:t>
      </w:r>
      <w:r w:rsidR="00137CEC">
        <w:rPr>
          <w:rFonts w:ascii="Arial" w:hAnsi="Arial" w:cs="Arial"/>
          <w:sz w:val="22"/>
        </w:rPr>
        <w:t>10) or the nea</w:t>
      </w:r>
      <w:r w:rsidR="00D12D58">
        <w:rPr>
          <w:rFonts w:ascii="Arial" w:hAnsi="Arial" w:cs="Arial"/>
          <w:sz w:val="22"/>
        </w:rPr>
        <w:t>rest 5% (values between 10 to</w:t>
      </w:r>
      <w:r w:rsidR="0077343C">
        <w:rPr>
          <w:rFonts w:ascii="Arial" w:hAnsi="Arial" w:cs="Arial"/>
          <w:sz w:val="22"/>
        </w:rPr>
        <w:t>100)</w:t>
      </w:r>
      <w:r w:rsidR="00BB14B8">
        <w:rPr>
          <w:rFonts w:ascii="Arial" w:hAnsi="Arial" w:cs="Arial"/>
          <w:sz w:val="22"/>
        </w:rPr>
        <w:t>.</w:t>
      </w:r>
    </w:p>
    <w:p w14:paraId="4DE1EE75" w14:textId="77777777" w:rsidR="00DC0A52" w:rsidRDefault="00DC0A52" w:rsidP="00DC0A52">
      <w:pPr>
        <w:pStyle w:val="Caption"/>
      </w:pPr>
    </w:p>
    <w:p w14:paraId="6F85DEC9" w14:textId="77777777" w:rsidR="00DC0A52" w:rsidRDefault="00DC0A52" w:rsidP="00DC0A52">
      <w:pPr>
        <w:pStyle w:val="Caption"/>
      </w:pPr>
    </w:p>
    <w:p w14:paraId="7DC0AE84" w14:textId="77777777" w:rsidR="00DC0A52" w:rsidRDefault="00DC0A52" w:rsidP="00DC0A52">
      <w:pPr>
        <w:pStyle w:val="Caption"/>
      </w:pPr>
    </w:p>
    <w:p w14:paraId="63F3F490" w14:textId="77777777" w:rsidR="00DC0A52" w:rsidRDefault="00DC0A52" w:rsidP="00DC0A52">
      <w:pPr>
        <w:pStyle w:val="Caption"/>
      </w:pPr>
    </w:p>
    <w:p w14:paraId="20FA26D5" w14:textId="77777777" w:rsidR="00DC0A52" w:rsidRDefault="00DC0A52" w:rsidP="00DC0A52">
      <w:pPr>
        <w:pStyle w:val="Caption"/>
      </w:pPr>
    </w:p>
    <w:p w14:paraId="37B09026" w14:textId="77777777" w:rsidR="00DC0A52" w:rsidRDefault="00DC0A52" w:rsidP="00DC0A52">
      <w:pPr>
        <w:pStyle w:val="Caption"/>
      </w:pPr>
    </w:p>
    <w:p w14:paraId="0B96C252" w14:textId="77777777" w:rsidR="00DC0A52" w:rsidRDefault="00DC0A52" w:rsidP="00DC0A52">
      <w:pPr>
        <w:pStyle w:val="Caption"/>
      </w:pPr>
    </w:p>
    <w:p w14:paraId="31A98654" w14:textId="77777777" w:rsidR="00DC0A52" w:rsidRDefault="00DC0A52" w:rsidP="00DC0A52">
      <w:pPr>
        <w:pStyle w:val="Caption"/>
      </w:pPr>
    </w:p>
    <w:p w14:paraId="4F930361" w14:textId="77777777" w:rsidR="00DC0A52" w:rsidRDefault="00DC0A52" w:rsidP="00DC0A52">
      <w:pPr>
        <w:pStyle w:val="Caption"/>
      </w:pPr>
    </w:p>
    <w:p w14:paraId="55F58949" w14:textId="77777777" w:rsidR="00DC0A52" w:rsidRDefault="00DC0A52" w:rsidP="00DC0A52">
      <w:pPr>
        <w:pStyle w:val="Caption"/>
      </w:pPr>
    </w:p>
    <w:p w14:paraId="47A0A8AF" w14:textId="77777777" w:rsidR="00DC0A52" w:rsidRDefault="00DC0A52" w:rsidP="00DC0A52">
      <w:pPr>
        <w:pStyle w:val="Caption"/>
      </w:pPr>
    </w:p>
    <w:p w14:paraId="79742261" w14:textId="77777777" w:rsidR="00DC0A52" w:rsidRDefault="00DC0A52" w:rsidP="00DC0A52">
      <w:pPr>
        <w:pStyle w:val="Caption"/>
      </w:pPr>
    </w:p>
    <w:p w14:paraId="7757D726" w14:textId="77777777" w:rsidR="00DC0A52" w:rsidRDefault="00DC0A52" w:rsidP="00DC0A52">
      <w:pPr>
        <w:pStyle w:val="Caption"/>
      </w:pPr>
    </w:p>
    <w:p w14:paraId="7FE5CD01" w14:textId="77777777" w:rsidR="00DC0A52" w:rsidRDefault="00DC0A52" w:rsidP="00DC0A52">
      <w:pPr>
        <w:pStyle w:val="Caption"/>
      </w:pPr>
      <w:bookmarkStart w:id="33" w:name="_Toc430856502"/>
      <w:r>
        <w:lastRenderedPageBreak/>
        <w:t xml:space="preserve">Table </w:t>
      </w:r>
      <w:r w:rsidR="001E1660">
        <w:fldChar w:fldCharType="begin"/>
      </w:r>
      <w:r w:rsidR="001E1660">
        <w:instrText xml:space="preserve"> SEQ Table \* ARABIC </w:instrText>
      </w:r>
      <w:r w:rsidR="001E1660">
        <w:fldChar w:fldCharType="separate"/>
      </w:r>
      <w:r w:rsidR="00A41217">
        <w:rPr>
          <w:noProof/>
        </w:rPr>
        <w:t>6</w:t>
      </w:r>
      <w:r w:rsidR="001E1660">
        <w:rPr>
          <w:noProof/>
        </w:rPr>
        <w:fldChar w:fldCharType="end"/>
      </w:r>
      <w:r>
        <w:t>: Proportion of Australians estimated to have dietary iodine intake below the EAR</w:t>
      </w:r>
      <w:bookmarkEnd w:id="33"/>
    </w:p>
    <w:p w14:paraId="5D734A2F" w14:textId="2DF6977A" w:rsidR="002A0BDC" w:rsidRPr="00A71D4E" w:rsidRDefault="00DC0A52" w:rsidP="00DC0A52">
      <w:pPr>
        <w:pStyle w:val="Caption"/>
        <w:rPr>
          <w:sz w:val="20"/>
        </w:rPr>
      </w:pPr>
      <w:r>
        <w:t xml:space="preserve"> </w:t>
      </w:r>
    </w:p>
    <w:tbl>
      <w:tblPr>
        <w:tblStyle w:val="LightShading"/>
        <w:tblW w:w="10054" w:type="dxa"/>
        <w:tblLook w:val="06A0" w:firstRow="1" w:lastRow="0" w:firstColumn="1" w:lastColumn="0" w:noHBand="1" w:noVBand="1"/>
        <w:tblCaption w:val="Table 6: Proportion of Australians estimated to have dietary iodine intake below the EAR"/>
      </w:tblPr>
      <w:tblGrid>
        <w:gridCol w:w="2237"/>
        <w:gridCol w:w="1113"/>
        <w:gridCol w:w="1676"/>
        <w:gridCol w:w="1676"/>
        <w:gridCol w:w="1676"/>
        <w:gridCol w:w="1676"/>
      </w:tblGrid>
      <w:tr w:rsidR="00E51250" w:rsidRPr="002A0BDC" w14:paraId="5D734A35" w14:textId="77777777" w:rsidTr="006059FC">
        <w:trPr>
          <w:cnfStyle w:val="100000000000" w:firstRow="1" w:lastRow="0" w:firstColumn="0" w:lastColumn="0" w:oddVBand="0" w:evenVBand="0" w:oddHBand="0" w:evenHBand="0" w:firstRowFirstColumn="0" w:firstRowLastColumn="0" w:lastRowFirstColumn="0" w:lastRowLastColumn="0"/>
          <w:trHeight w:val="392"/>
          <w:tblHeader/>
        </w:trPr>
        <w:tc>
          <w:tcPr>
            <w:cnfStyle w:val="001000000000" w:firstRow="0" w:lastRow="0" w:firstColumn="1" w:lastColumn="0" w:oddVBand="0" w:evenVBand="0" w:oddHBand="0" w:evenHBand="0" w:firstRowFirstColumn="0" w:firstRowLastColumn="0" w:lastRowFirstColumn="0" w:lastRowLastColumn="0"/>
            <w:tcW w:w="2237" w:type="dxa"/>
            <w:vMerge w:val="restart"/>
            <w:tcBorders>
              <w:bottom w:val="single" w:sz="4" w:space="0" w:color="auto"/>
            </w:tcBorders>
            <w:vAlign w:val="bottom"/>
          </w:tcPr>
          <w:p w14:paraId="5D734A30" w14:textId="77777777" w:rsidR="00E51250" w:rsidRPr="00DD7D43" w:rsidRDefault="00E51250" w:rsidP="003C10CD">
            <w:pPr>
              <w:keepNext/>
              <w:rPr>
                <w:rFonts w:ascii="Arial" w:hAnsi="Arial" w:cs="Arial"/>
                <w:b w:val="0"/>
                <w:sz w:val="20"/>
                <w:szCs w:val="20"/>
                <w:lang w:val="en-AU" w:eastAsia="en-AU"/>
              </w:rPr>
            </w:pPr>
          </w:p>
          <w:p w14:paraId="5D734A31" w14:textId="77777777" w:rsidR="00E51250" w:rsidRPr="00F66E93" w:rsidRDefault="00E51250" w:rsidP="003C10CD">
            <w:pPr>
              <w:keepNext/>
              <w:rPr>
                <w:rFonts w:ascii="Arial" w:hAnsi="Arial" w:cs="Arial"/>
                <w:b w:val="0"/>
                <w:bCs w:val="0"/>
                <w:sz w:val="20"/>
                <w:szCs w:val="20"/>
                <w:lang w:val="en-AU" w:eastAsia="en-AU"/>
              </w:rPr>
            </w:pPr>
            <w:r w:rsidRPr="005F6387">
              <w:rPr>
                <w:rFonts w:ascii="Arial" w:hAnsi="Arial" w:cs="Arial"/>
                <w:sz w:val="20"/>
                <w:szCs w:val="20"/>
                <w:lang w:val="en-AU" w:eastAsia="en-AU"/>
              </w:rPr>
              <w:t>Age group</w:t>
            </w:r>
            <w:r>
              <w:rPr>
                <w:rFonts w:ascii="Arial" w:hAnsi="Arial" w:cs="Arial"/>
                <w:sz w:val="20"/>
                <w:szCs w:val="20"/>
                <w:lang w:val="en-AU" w:eastAsia="en-AU"/>
              </w:rPr>
              <w:t xml:space="preserve"> (both sexes)</w:t>
            </w:r>
          </w:p>
        </w:tc>
        <w:tc>
          <w:tcPr>
            <w:tcW w:w="1113" w:type="dxa"/>
            <w:vMerge w:val="restart"/>
            <w:tcBorders>
              <w:bottom w:val="single" w:sz="4" w:space="0" w:color="auto"/>
            </w:tcBorders>
            <w:vAlign w:val="bottom"/>
          </w:tcPr>
          <w:p w14:paraId="5D734A32" w14:textId="77777777" w:rsidR="00E51250" w:rsidRPr="00E51250" w:rsidRDefault="00E51250" w:rsidP="003C10CD">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AU" w:eastAsia="en-AU"/>
              </w:rPr>
            </w:pPr>
          </w:p>
          <w:p w14:paraId="5D734A33" w14:textId="77777777" w:rsidR="00E51250" w:rsidRPr="00E51250" w:rsidRDefault="00E51250" w:rsidP="003C10CD">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AU" w:eastAsia="en-AU"/>
              </w:rPr>
            </w:pPr>
            <w:r w:rsidRPr="00E51250">
              <w:rPr>
                <w:rFonts w:ascii="Arial" w:hAnsi="Arial" w:cs="Arial"/>
                <w:sz w:val="20"/>
                <w:szCs w:val="20"/>
                <w:lang w:val="en-AU" w:eastAsia="en-AU"/>
              </w:rPr>
              <w:t>EAR (µg/day)</w:t>
            </w:r>
          </w:p>
        </w:tc>
        <w:tc>
          <w:tcPr>
            <w:tcW w:w="6704" w:type="dxa"/>
            <w:gridSpan w:val="4"/>
            <w:tcBorders>
              <w:bottom w:val="single" w:sz="4" w:space="0" w:color="auto"/>
            </w:tcBorders>
          </w:tcPr>
          <w:p w14:paraId="5D734A34" w14:textId="77994F09" w:rsidR="00E51250" w:rsidRPr="005F6387" w:rsidRDefault="00E51250" w:rsidP="003C10CD">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AU" w:eastAsia="en-AU"/>
              </w:rPr>
            </w:pPr>
            <w:r w:rsidRPr="005F6387">
              <w:rPr>
                <w:rFonts w:ascii="Arial" w:hAnsi="Arial" w:cs="Arial"/>
                <w:sz w:val="20"/>
                <w:szCs w:val="20"/>
                <w:lang w:val="en-AU" w:eastAsia="en-AU"/>
              </w:rPr>
              <w:t>Propor</w:t>
            </w:r>
            <w:r w:rsidR="00531242">
              <w:rPr>
                <w:rFonts w:ascii="Arial" w:hAnsi="Arial" w:cs="Arial"/>
                <w:sz w:val="20"/>
                <w:szCs w:val="20"/>
                <w:lang w:val="en-AU" w:eastAsia="en-AU"/>
              </w:rPr>
              <w:t>tion with dietary iodine intake</w:t>
            </w:r>
            <w:r w:rsidRPr="005F6387">
              <w:rPr>
                <w:rFonts w:ascii="Arial" w:hAnsi="Arial" w:cs="Arial"/>
                <w:sz w:val="20"/>
                <w:szCs w:val="20"/>
                <w:lang w:val="en-AU" w:eastAsia="en-AU"/>
              </w:rPr>
              <w:t xml:space="preserve"> </w:t>
            </w:r>
            <w:r>
              <w:rPr>
                <w:rFonts w:ascii="Arial" w:hAnsi="Arial" w:cs="Arial"/>
                <w:sz w:val="20"/>
                <w:szCs w:val="20"/>
                <w:lang w:val="en-AU" w:eastAsia="en-AU"/>
              </w:rPr>
              <w:t>below the EAR</w:t>
            </w:r>
            <w:r w:rsidRPr="005F6387">
              <w:rPr>
                <w:rFonts w:ascii="Arial" w:hAnsi="Arial" w:cs="Arial"/>
                <w:sz w:val="20"/>
                <w:szCs w:val="20"/>
                <w:lang w:val="en-AU" w:eastAsia="en-AU"/>
              </w:rPr>
              <w:t xml:space="preserve"> </w:t>
            </w:r>
            <w:r w:rsidRPr="005F6387">
              <w:rPr>
                <w:rFonts w:ascii="Arial" w:hAnsi="Arial" w:cs="Arial"/>
                <w:sz w:val="20"/>
              </w:rPr>
              <w:t xml:space="preserve">(%) </w:t>
            </w:r>
          </w:p>
        </w:tc>
      </w:tr>
      <w:tr w:rsidR="00E51250" w:rsidRPr="002A0BDC" w14:paraId="5D734A3A" w14:textId="77777777" w:rsidTr="006059FC">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2237" w:type="dxa"/>
            <w:vMerge/>
            <w:tcBorders>
              <w:top w:val="nil"/>
              <w:bottom w:val="single" w:sz="4" w:space="0" w:color="auto"/>
            </w:tcBorders>
          </w:tcPr>
          <w:p w14:paraId="5D734A36" w14:textId="77777777" w:rsidR="00E51250" w:rsidRPr="005F6387" w:rsidRDefault="00E51250" w:rsidP="003C10CD">
            <w:pPr>
              <w:keepNext/>
              <w:rPr>
                <w:rFonts w:ascii="Arial" w:hAnsi="Arial" w:cs="Arial"/>
                <w:sz w:val="20"/>
                <w:szCs w:val="20"/>
                <w:lang w:val="en-AU" w:eastAsia="en-AU"/>
              </w:rPr>
            </w:pPr>
          </w:p>
        </w:tc>
        <w:tc>
          <w:tcPr>
            <w:tcW w:w="1113" w:type="dxa"/>
            <w:vMerge/>
            <w:tcBorders>
              <w:top w:val="nil"/>
              <w:bottom w:val="single" w:sz="4" w:space="0" w:color="auto"/>
            </w:tcBorders>
          </w:tcPr>
          <w:p w14:paraId="5D734A37" w14:textId="77777777" w:rsidR="00E51250" w:rsidRPr="00DD7D43" w:rsidRDefault="00E51250" w:rsidP="003C10CD">
            <w:pPr>
              <w:keepNex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p>
        </w:tc>
        <w:tc>
          <w:tcPr>
            <w:tcW w:w="3352" w:type="dxa"/>
            <w:gridSpan w:val="2"/>
            <w:tcBorders>
              <w:top w:val="single" w:sz="4" w:space="0" w:color="auto"/>
              <w:bottom w:val="single" w:sz="4" w:space="0" w:color="auto"/>
            </w:tcBorders>
          </w:tcPr>
          <w:p w14:paraId="5D734A38"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Market weighted model</w:t>
            </w:r>
          </w:p>
        </w:tc>
        <w:tc>
          <w:tcPr>
            <w:tcW w:w="3352" w:type="dxa"/>
            <w:gridSpan w:val="2"/>
            <w:tcBorders>
              <w:top w:val="single" w:sz="4" w:space="0" w:color="auto"/>
              <w:bottom w:val="single" w:sz="4" w:space="0" w:color="auto"/>
            </w:tcBorders>
          </w:tcPr>
          <w:p w14:paraId="5D734A39"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Consumer behaviour model</w:t>
            </w:r>
          </w:p>
        </w:tc>
      </w:tr>
      <w:tr w:rsidR="00E51250" w:rsidRPr="002A0BDC" w14:paraId="5D734A41" w14:textId="77777777" w:rsidTr="006059FC">
        <w:trPr>
          <w:cnfStyle w:val="100000000000" w:firstRow="1" w:lastRow="0" w:firstColumn="0" w:lastColumn="0" w:oddVBand="0" w:evenVBand="0" w:oddHBand="0" w:evenHBand="0" w:firstRowFirstColumn="0" w:firstRowLastColumn="0" w:lastRowFirstColumn="0" w:lastRowLastColumn="0"/>
          <w:trHeight w:val="685"/>
          <w:tblHeader/>
        </w:trPr>
        <w:tc>
          <w:tcPr>
            <w:cnfStyle w:val="001000000000" w:firstRow="0" w:lastRow="0" w:firstColumn="1" w:lastColumn="0" w:oddVBand="0" w:evenVBand="0" w:oddHBand="0" w:evenHBand="0" w:firstRowFirstColumn="0" w:firstRowLastColumn="0" w:lastRowFirstColumn="0" w:lastRowLastColumn="0"/>
            <w:tcW w:w="2237" w:type="dxa"/>
            <w:vMerge/>
            <w:tcBorders>
              <w:top w:val="nil"/>
              <w:bottom w:val="single" w:sz="4" w:space="0" w:color="auto"/>
            </w:tcBorders>
          </w:tcPr>
          <w:p w14:paraId="5D734A3B" w14:textId="77777777" w:rsidR="00E51250" w:rsidRPr="00DD7D43" w:rsidRDefault="00E51250" w:rsidP="003C10CD">
            <w:pPr>
              <w:keepNext/>
              <w:rPr>
                <w:rFonts w:ascii="Arial" w:hAnsi="Arial" w:cs="Arial"/>
                <w:b w:val="0"/>
                <w:sz w:val="20"/>
                <w:szCs w:val="20"/>
                <w:lang w:val="en-AU" w:eastAsia="en-AU"/>
              </w:rPr>
            </w:pPr>
          </w:p>
        </w:tc>
        <w:tc>
          <w:tcPr>
            <w:tcW w:w="1113" w:type="dxa"/>
            <w:vMerge/>
            <w:tcBorders>
              <w:top w:val="nil"/>
              <w:bottom w:val="single" w:sz="4" w:space="0" w:color="auto"/>
            </w:tcBorders>
          </w:tcPr>
          <w:p w14:paraId="5D734A3C" w14:textId="77777777" w:rsidR="00E51250" w:rsidRPr="00DD7D43" w:rsidRDefault="00E51250" w:rsidP="003C10CD">
            <w:pPr>
              <w:keepNex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p>
        </w:tc>
        <w:tc>
          <w:tcPr>
            <w:tcW w:w="1676" w:type="dxa"/>
            <w:tcBorders>
              <w:top w:val="single" w:sz="4" w:space="0" w:color="auto"/>
              <w:bottom w:val="single" w:sz="4" w:space="0" w:color="auto"/>
            </w:tcBorders>
          </w:tcPr>
          <w:p w14:paraId="5D734A3D"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Pre-fortification</w:t>
            </w:r>
          </w:p>
        </w:tc>
        <w:tc>
          <w:tcPr>
            <w:tcW w:w="1676" w:type="dxa"/>
            <w:tcBorders>
              <w:top w:val="single" w:sz="4" w:space="0" w:color="auto"/>
              <w:bottom w:val="single" w:sz="4" w:space="0" w:color="auto"/>
            </w:tcBorders>
          </w:tcPr>
          <w:p w14:paraId="5D734A3E"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Post-fortification</w:t>
            </w:r>
          </w:p>
        </w:tc>
        <w:tc>
          <w:tcPr>
            <w:tcW w:w="1676" w:type="dxa"/>
            <w:tcBorders>
              <w:top w:val="single" w:sz="4" w:space="0" w:color="auto"/>
              <w:bottom w:val="single" w:sz="4" w:space="0" w:color="auto"/>
            </w:tcBorders>
          </w:tcPr>
          <w:p w14:paraId="5D734A3F"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Pre-fortification</w:t>
            </w:r>
          </w:p>
        </w:tc>
        <w:tc>
          <w:tcPr>
            <w:tcW w:w="1676" w:type="dxa"/>
            <w:tcBorders>
              <w:top w:val="single" w:sz="4" w:space="0" w:color="auto"/>
              <w:bottom w:val="single" w:sz="4" w:space="0" w:color="auto"/>
            </w:tcBorders>
          </w:tcPr>
          <w:p w14:paraId="5D734A40" w14:textId="77777777" w:rsidR="00E51250" w:rsidRPr="00DD7D43" w:rsidRDefault="00E51250" w:rsidP="003C10CD">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AU" w:eastAsia="en-AU"/>
              </w:rPr>
            </w:pPr>
            <w:r w:rsidRPr="00DD7D43">
              <w:rPr>
                <w:rFonts w:ascii="Arial" w:hAnsi="Arial" w:cs="Arial"/>
                <w:sz w:val="20"/>
                <w:szCs w:val="20"/>
                <w:lang w:val="en-AU" w:eastAsia="en-AU"/>
              </w:rPr>
              <w:t>Post-fortification</w:t>
            </w:r>
          </w:p>
        </w:tc>
      </w:tr>
      <w:tr w:rsidR="002A0BDC" w:rsidRPr="002A0BDC" w14:paraId="5D734A48" w14:textId="77777777" w:rsidTr="00E51250">
        <w:trPr>
          <w:trHeight w:val="27"/>
        </w:trPr>
        <w:tc>
          <w:tcPr>
            <w:cnfStyle w:val="001000000000" w:firstRow="0" w:lastRow="0" w:firstColumn="1" w:lastColumn="0" w:oddVBand="0" w:evenVBand="0" w:oddHBand="0" w:evenHBand="0" w:firstRowFirstColumn="0" w:firstRowLastColumn="0" w:lastRowFirstColumn="0" w:lastRowLastColumn="0"/>
            <w:tcW w:w="2237" w:type="dxa"/>
            <w:tcBorders>
              <w:top w:val="single" w:sz="4" w:space="0" w:color="auto"/>
            </w:tcBorders>
          </w:tcPr>
          <w:p w14:paraId="5D734A42"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2-3 years</w:t>
            </w:r>
            <w:r w:rsidRPr="00DD7D43">
              <w:rPr>
                <w:rFonts w:ascii="Arial" w:hAnsi="Arial" w:cs="Arial"/>
                <w:color w:val="000000"/>
                <w:sz w:val="20"/>
                <w:szCs w:val="20"/>
                <w:vertAlign w:val="superscript"/>
              </w:rPr>
              <w:t>#</w:t>
            </w:r>
          </w:p>
        </w:tc>
        <w:tc>
          <w:tcPr>
            <w:tcW w:w="1113" w:type="dxa"/>
            <w:tcBorders>
              <w:top w:val="single" w:sz="4" w:space="0" w:color="auto"/>
            </w:tcBorders>
          </w:tcPr>
          <w:p w14:paraId="5D734A43"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65</w:t>
            </w:r>
          </w:p>
        </w:tc>
        <w:tc>
          <w:tcPr>
            <w:tcW w:w="1676" w:type="dxa"/>
            <w:tcBorders>
              <w:top w:val="single" w:sz="4" w:space="0" w:color="auto"/>
            </w:tcBorders>
          </w:tcPr>
          <w:p w14:paraId="5D734A44"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9</w:t>
            </w:r>
          </w:p>
        </w:tc>
        <w:tc>
          <w:tcPr>
            <w:tcW w:w="1676" w:type="dxa"/>
            <w:tcBorders>
              <w:top w:val="single" w:sz="4" w:space="0" w:color="auto"/>
            </w:tcBorders>
          </w:tcPr>
          <w:p w14:paraId="5D734A45"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c>
          <w:tcPr>
            <w:tcW w:w="1676" w:type="dxa"/>
            <w:tcBorders>
              <w:top w:val="single" w:sz="4" w:space="0" w:color="auto"/>
            </w:tcBorders>
          </w:tcPr>
          <w:p w14:paraId="5D734A46"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w:t>
            </w:r>
          </w:p>
        </w:tc>
        <w:tc>
          <w:tcPr>
            <w:tcW w:w="1676" w:type="dxa"/>
            <w:tcBorders>
              <w:top w:val="single" w:sz="4" w:space="0" w:color="auto"/>
            </w:tcBorders>
          </w:tcPr>
          <w:p w14:paraId="5D734A47"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r>
      <w:tr w:rsidR="002A0BDC" w:rsidRPr="002A0BDC" w14:paraId="5D734A4F"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49"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4-8 years</w:t>
            </w:r>
            <w:r w:rsidRPr="00DD7D43">
              <w:rPr>
                <w:rFonts w:ascii="Arial" w:hAnsi="Arial" w:cs="Arial"/>
                <w:color w:val="000000"/>
                <w:sz w:val="20"/>
                <w:szCs w:val="20"/>
                <w:vertAlign w:val="superscript"/>
              </w:rPr>
              <w:t>#</w:t>
            </w:r>
          </w:p>
        </w:tc>
        <w:tc>
          <w:tcPr>
            <w:tcW w:w="1113" w:type="dxa"/>
          </w:tcPr>
          <w:p w14:paraId="5D734A4A"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65</w:t>
            </w:r>
          </w:p>
        </w:tc>
        <w:tc>
          <w:tcPr>
            <w:tcW w:w="1676" w:type="dxa"/>
          </w:tcPr>
          <w:p w14:paraId="5D734A4B"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8</w:t>
            </w:r>
          </w:p>
        </w:tc>
        <w:tc>
          <w:tcPr>
            <w:tcW w:w="1676" w:type="dxa"/>
          </w:tcPr>
          <w:p w14:paraId="5D734A4C"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c>
          <w:tcPr>
            <w:tcW w:w="1676" w:type="dxa"/>
          </w:tcPr>
          <w:p w14:paraId="5D734A4D"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w:t>
            </w:r>
          </w:p>
        </w:tc>
        <w:tc>
          <w:tcPr>
            <w:tcW w:w="1676" w:type="dxa"/>
          </w:tcPr>
          <w:p w14:paraId="5D734A4E"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r>
      <w:tr w:rsidR="002A0BDC" w:rsidRPr="002A0BDC" w14:paraId="5D734A56"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50"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9-13 years</w:t>
            </w:r>
            <w:r w:rsidRPr="00DD7D43">
              <w:rPr>
                <w:rFonts w:ascii="Arial" w:hAnsi="Arial" w:cs="Arial"/>
                <w:color w:val="000000"/>
                <w:sz w:val="20"/>
                <w:szCs w:val="20"/>
                <w:vertAlign w:val="superscript"/>
              </w:rPr>
              <w:t>#</w:t>
            </w:r>
          </w:p>
        </w:tc>
        <w:tc>
          <w:tcPr>
            <w:tcW w:w="1113" w:type="dxa"/>
          </w:tcPr>
          <w:p w14:paraId="5D734A51"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75</w:t>
            </w:r>
          </w:p>
        </w:tc>
        <w:tc>
          <w:tcPr>
            <w:tcW w:w="1676" w:type="dxa"/>
          </w:tcPr>
          <w:p w14:paraId="5D734A52"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8</w:t>
            </w:r>
          </w:p>
        </w:tc>
        <w:tc>
          <w:tcPr>
            <w:tcW w:w="1676" w:type="dxa"/>
          </w:tcPr>
          <w:p w14:paraId="5D734A53"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c>
          <w:tcPr>
            <w:tcW w:w="1676" w:type="dxa"/>
          </w:tcPr>
          <w:p w14:paraId="5D734A54"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w:t>
            </w:r>
          </w:p>
        </w:tc>
        <w:tc>
          <w:tcPr>
            <w:tcW w:w="1676" w:type="dxa"/>
          </w:tcPr>
          <w:p w14:paraId="5D734A55"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r>
      <w:tr w:rsidR="002A0BDC" w:rsidRPr="002A0BDC" w14:paraId="5D734A5D"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57"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14-16 years</w:t>
            </w:r>
            <w:r w:rsidRPr="00DD7D43">
              <w:rPr>
                <w:rFonts w:ascii="Arial" w:hAnsi="Arial" w:cs="Arial"/>
                <w:color w:val="000000"/>
                <w:sz w:val="20"/>
                <w:szCs w:val="20"/>
                <w:vertAlign w:val="superscript"/>
              </w:rPr>
              <w:t>#</w:t>
            </w:r>
          </w:p>
        </w:tc>
        <w:tc>
          <w:tcPr>
            <w:tcW w:w="1113" w:type="dxa"/>
          </w:tcPr>
          <w:p w14:paraId="5D734A58"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95</w:t>
            </w:r>
          </w:p>
        </w:tc>
        <w:tc>
          <w:tcPr>
            <w:tcW w:w="1676" w:type="dxa"/>
          </w:tcPr>
          <w:p w14:paraId="5D734A59"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15</w:t>
            </w:r>
          </w:p>
        </w:tc>
        <w:tc>
          <w:tcPr>
            <w:tcW w:w="1676" w:type="dxa"/>
          </w:tcPr>
          <w:p w14:paraId="5D734A5A"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w:t>
            </w:r>
          </w:p>
        </w:tc>
        <w:tc>
          <w:tcPr>
            <w:tcW w:w="1676" w:type="dxa"/>
          </w:tcPr>
          <w:p w14:paraId="5D734A5B"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25</w:t>
            </w:r>
          </w:p>
        </w:tc>
        <w:tc>
          <w:tcPr>
            <w:tcW w:w="1676" w:type="dxa"/>
          </w:tcPr>
          <w:p w14:paraId="5D734A5C"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2</w:t>
            </w:r>
          </w:p>
        </w:tc>
      </w:tr>
      <w:tr w:rsidR="002A0BDC" w:rsidRPr="002A0BDC" w14:paraId="5D734A64"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5E"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2-16 years</w:t>
            </w:r>
            <w:r w:rsidRPr="00DD7D43">
              <w:rPr>
                <w:rFonts w:ascii="Arial" w:hAnsi="Arial" w:cs="Arial"/>
                <w:color w:val="000000"/>
                <w:sz w:val="20"/>
                <w:szCs w:val="20"/>
                <w:vertAlign w:val="superscript"/>
              </w:rPr>
              <w:t>#</w:t>
            </w:r>
          </w:p>
        </w:tc>
        <w:tc>
          <w:tcPr>
            <w:tcW w:w="1113" w:type="dxa"/>
          </w:tcPr>
          <w:p w14:paraId="5D734A5F" w14:textId="77777777" w:rsidR="002A0BDC" w:rsidRPr="00DD7D43" w:rsidRDefault="002A0BDC" w:rsidP="003C10CD">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No value assigned</w:t>
            </w:r>
          </w:p>
        </w:tc>
        <w:tc>
          <w:tcPr>
            <w:tcW w:w="1676" w:type="dxa"/>
          </w:tcPr>
          <w:p w14:paraId="5D734A60"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w:t>
            </w:r>
          </w:p>
        </w:tc>
        <w:tc>
          <w:tcPr>
            <w:tcW w:w="1676" w:type="dxa"/>
          </w:tcPr>
          <w:p w14:paraId="5D734A61"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c>
          <w:tcPr>
            <w:tcW w:w="1676" w:type="dxa"/>
          </w:tcPr>
          <w:p w14:paraId="5D734A62"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15</w:t>
            </w:r>
          </w:p>
        </w:tc>
        <w:tc>
          <w:tcPr>
            <w:tcW w:w="1676" w:type="dxa"/>
          </w:tcPr>
          <w:p w14:paraId="5D734A63"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&lt;1</w:t>
            </w:r>
          </w:p>
        </w:tc>
      </w:tr>
      <w:tr w:rsidR="002A0BDC" w:rsidRPr="002A0BDC" w14:paraId="5D734A6B"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65"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17-18 years*</w:t>
            </w:r>
          </w:p>
        </w:tc>
        <w:tc>
          <w:tcPr>
            <w:tcW w:w="1113" w:type="dxa"/>
          </w:tcPr>
          <w:p w14:paraId="5D734A66"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95</w:t>
            </w:r>
          </w:p>
        </w:tc>
        <w:tc>
          <w:tcPr>
            <w:tcW w:w="1676" w:type="dxa"/>
          </w:tcPr>
          <w:p w14:paraId="5D734A67"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35</w:t>
            </w:r>
          </w:p>
        </w:tc>
        <w:tc>
          <w:tcPr>
            <w:tcW w:w="1676" w:type="dxa"/>
          </w:tcPr>
          <w:p w14:paraId="5D734A68"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5</w:t>
            </w:r>
          </w:p>
        </w:tc>
        <w:tc>
          <w:tcPr>
            <w:tcW w:w="1676" w:type="dxa"/>
          </w:tcPr>
          <w:p w14:paraId="5D734A69"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16-43</w:t>
            </w:r>
          </w:p>
        </w:tc>
        <w:tc>
          <w:tcPr>
            <w:tcW w:w="1676" w:type="dxa"/>
          </w:tcPr>
          <w:p w14:paraId="5D734A6A"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3-7</w:t>
            </w:r>
          </w:p>
        </w:tc>
      </w:tr>
      <w:tr w:rsidR="002A0BDC" w:rsidRPr="002A0BDC" w14:paraId="5D734A72"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6C"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19-29 years*</w:t>
            </w:r>
          </w:p>
        </w:tc>
        <w:tc>
          <w:tcPr>
            <w:tcW w:w="1113" w:type="dxa"/>
          </w:tcPr>
          <w:p w14:paraId="5D734A6D"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100</w:t>
            </w:r>
          </w:p>
        </w:tc>
        <w:tc>
          <w:tcPr>
            <w:tcW w:w="1676" w:type="dxa"/>
          </w:tcPr>
          <w:p w14:paraId="5D734A6E"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40</w:t>
            </w:r>
          </w:p>
        </w:tc>
        <w:tc>
          <w:tcPr>
            <w:tcW w:w="1676" w:type="dxa"/>
          </w:tcPr>
          <w:p w14:paraId="5D734A6F"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6</w:t>
            </w:r>
          </w:p>
        </w:tc>
        <w:tc>
          <w:tcPr>
            <w:tcW w:w="1676" w:type="dxa"/>
          </w:tcPr>
          <w:p w14:paraId="5D734A70"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21-52</w:t>
            </w:r>
          </w:p>
        </w:tc>
        <w:tc>
          <w:tcPr>
            <w:tcW w:w="1676" w:type="dxa"/>
          </w:tcPr>
          <w:p w14:paraId="5D734A71"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4-8</w:t>
            </w:r>
          </w:p>
        </w:tc>
      </w:tr>
      <w:tr w:rsidR="002A0BDC" w:rsidRPr="002A0BDC" w14:paraId="5D734A79"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73" w14:textId="77777777" w:rsidR="002A0BDC" w:rsidRPr="00DD7D43" w:rsidRDefault="002A0BDC" w:rsidP="003C10CD">
            <w:pPr>
              <w:keepNext/>
              <w:rPr>
                <w:rFonts w:ascii="Arial" w:hAnsi="Arial" w:cs="Arial"/>
                <w:color w:val="000000"/>
                <w:sz w:val="20"/>
                <w:szCs w:val="20"/>
              </w:rPr>
            </w:pPr>
            <w:r w:rsidRPr="00DD7D43">
              <w:rPr>
                <w:rFonts w:ascii="Arial" w:hAnsi="Arial" w:cs="Arial"/>
                <w:color w:val="000000"/>
                <w:sz w:val="20"/>
                <w:szCs w:val="20"/>
              </w:rPr>
              <w:t>30-49 years*</w:t>
            </w:r>
          </w:p>
        </w:tc>
        <w:tc>
          <w:tcPr>
            <w:tcW w:w="1113" w:type="dxa"/>
          </w:tcPr>
          <w:p w14:paraId="5D734A74"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100</w:t>
            </w:r>
          </w:p>
        </w:tc>
        <w:tc>
          <w:tcPr>
            <w:tcW w:w="1676" w:type="dxa"/>
          </w:tcPr>
          <w:p w14:paraId="5D734A75"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45</w:t>
            </w:r>
          </w:p>
        </w:tc>
        <w:tc>
          <w:tcPr>
            <w:tcW w:w="1676" w:type="dxa"/>
          </w:tcPr>
          <w:p w14:paraId="5D734A76"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6</w:t>
            </w:r>
          </w:p>
        </w:tc>
        <w:tc>
          <w:tcPr>
            <w:tcW w:w="1676" w:type="dxa"/>
          </w:tcPr>
          <w:p w14:paraId="5D734A77"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22-57</w:t>
            </w:r>
          </w:p>
        </w:tc>
        <w:tc>
          <w:tcPr>
            <w:tcW w:w="1676" w:type="dxa"/>
          </w:tcPr>
          <w:p w14:paraId="5D734A78" w14:textId="77777777" w:rsidR="002A0BDC" w:rsidRPr="00DD7D43"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D7D43">
              <w:rPr>
                <w:rFonts w:ascii="Arial" w:hAnsi="Arial" w:cs="Arial"/>
                <w:color w:val="000000"/>
                <w:sz w:val="20"/>
                <w:szCs w:val="20"/>
              </w:rPr>
              <w:t>3-9</w:t>
            </w:r>
          </w:p>
        </w:tc>
      </w:tr>
      <w:tr w:rsidR="002A0BDC" w:rsidRPr="002A0BDC" w14:paraId="5D734A80"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7A" w14:textId="77777777" w:rsidR="002A0BDC" w:rsidRPr="002A0BDC" w:rsidRDefault="002A0BDC" w:rsidP="003C10CD">
            <w:pPr>
              <w:keepNext/>
              <w:rPr>
                <w:rFonts w:ascii="Arial" w:hAnsi="Arial" w:cs="Arial"/>
                <w:color w:val="000000"/>
                <w:sz w:val="20"/>
                <w:szCs w:val="20"/>
              </w:rPr>
            </w:pPr>
            <w:r w:rsidRPr="002A0BDC">
              <w:rPr>
                <w:rFonts w:ascii="Arial" w:hAnsi="Arial" w:cs="Arial"/>
                <w:color w:val="000000"/>
                <w:sz w:val="20"/>
                <w:szCs w:val="20"/>
              </w:rPr>
              <w:t>50-69 years*</w:t>
            </w:r>
          </w:p>
        </w:tc>
        <w:tc>
          <w:tcPr>
            <w:tcW w:w="1113" w:type="dxa"/>
          </w:tcPr>
          <w:p w14:paraId="5D734A7B"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100</w:t>
            </w:r>
          </w:p>
        </w:tc>
        <w:tc>
          <w:tcPr>
            <w:tcW w:w="1676" w:type="dxa"/>
          </w:tcPr>
          <w:p w14:paraId="5D734A7C"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50</w:t>
            </w:r>
          </w:p>
        </w:tc>
        <w:tc>
          <w:tcPr>
            <w:tcW w:w="1676" w:type="dxa"/>
          </w:tcPr>
          <w:p w14:paraId="5D734A7D"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w:t>
            </w:r>
          </w:p>
        </w:tc>
        <w:tc>
          <w:tcPr>
            <w:tcW w:w="1676" w:type="dxa"/>
          </w:tcPr>
          <w:p w14:paraId="5D734A7E"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19-64</w:t>
            </w:r>
          </w:p>
        </w:tc>
        <w:tc>
          <w:tcPr>
            <w:tcW w:w="1676" w:type="dxa"/>
          </w:tcPr>
          <w:p w14:paraId="5D734A7F"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2-10</w:t>
            </w:r>
          </w:p>
        </w:tc>
      </w:tr>
      <w:tr w:rsidR="002A0BDC" w:rsidRPr="002A0BDC" w14:paraId="5D734A87"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81" w14:textId="77777777" w:rsidR="002A0BDC" w:rsidRPr="002A0BDC" w:rsidRDefault="002A0BDC" w:rsidP="003C10CD">
            <w:pPr>
              <w:keepNext/>
              <w:rPr>
                <w:rFonts w:ascii="Arial" w:hAnsi="Arial" w:cs="Arial"/>
                <w:color w:val="000000"/>
                <w:sz w:val="20"/>
                <w:szCs w:val="20"/>
              </w:rPr>
            </w:pPr>
            <w:r w:rsidRPr="002A0BDC">
              <w:rPr>
                <w:rFonts w:ascii="Arial" w:hAnsi="Arial" w:cs="Arial"/>
                <w:color w:val="000000"/>
                <w:sz w:val="20"/>
                <w:szCs w:val="20"/>
              </w:rPr>
              <w:t>70 years and above*</w:t>
            </w:r>
          </w:p>
        </w:tc>
        <w:tc>
          <w:tcPr>
            <w:tcW w:w="1113" w:type="dxa"/>
          </w:tcPr>
          <w:p w14:paraId="5D734A82"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100</w:t>
            </w:r>
          </w:p>
        </w:tc>
        <w:tc>
          <w:tcPr>
            <w:tcW w:w="1676" w:type="dxa"/>
          </w:tcPr>
          <w:p w14:paraId="5D734A83"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60</w:t>
            </w:r>
          </w:p>
        </w:tc>
        <w:tc>
          <w:tcPr>
            <w:tcW w:w="1676" w:type="dxa"/>
          </w:tcPr>
          <w:p w14:paraId="5D734A84"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7</w:t>
            </w:r>
          </w:p>
        </w:tc>
        <w:tc>
          <w:tcPr>
            <w:tcW w:w="1676" w:type="dxa"/>
          </w:tcPr>
          <w:p w14:paraId="5D734A85"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22-75</w:t>
            </w:r>
          </w:p>
        </w:tc>
        <w:tc>
          <w:tcPr>
            <w:tcW w:w="1676" w:type="dxa"/>
          </w:tcPr>
          <w:p w14:paraId="5D734A86"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3-13</w:t>
            </w:r>
          </w:p>
        </w:tc>
      </w:tr>
      <w:tr w:rsidR="002A0BDC" w:rsidRPr="002A0BDC" w14:paraId="5D734A8E" w14:textId="77777777" w:rsidTr="00E242C1">
        <w:trPr>
          <w:trHeight w:val="738"/>
        </w:trPr>
        <w:tc>
          <w:tcPr>
            <w:cnfStyle w:val="001000000000" w:firstRow="0" w:lastRow="0" w:firstColumn="1" w:lastColumn="0" w:oddVBand="0" w:evenVBand="0" w:oddHBand="0" w:evenHBand="0" w:firstRowFirstColumn="0" w:firstRowLastColumn="0" w:lastRowFirstColumn="0" w:lastRowLastColumn="0"/>
            <w:tcW w:w="2237" w:type="dxa"/>
          </w:tcPr>
          <w:p w14:paraId="5D734A88" w14:textId="77777777" w:rsidR="002A0BDC" w:rsidRPr="002A0BDC" w:rsidRDefault="002A0BDC" w:rsidP="003C10CD">
            <w:pPr>
              <w:keepNext/>
              <w:rPr>
                <w:rFonts w:ascii="Arial" w:hAnsi="Arial" w:cs="Arial"/>
                <w:color w:val="000000"/>
                <w:sz w:val="20"/>
                <w:szCs w:val="20"/>
              </w:rPr>
            </w:pPr>
            <w:r w:rsidRPr="002A0BDC">
              <w:rPr>
                <w:rFonts w:ascii="Arial" w:hAnsi="Arial" w:cs="Arial"/>
                <w:color w:val="000000"/>
                <w:sz w:val="20"/>
                <w:szCs w:val="20"/>
              </w:rPr>
              <w:t>17 years and above*</w:t>
            </w:r>
          </w:p>
        </w:tc>
        <w:tc>
          <w:tcPr>
            <w:tcW w:w="1113" w:type="dxa"/>
          </w:tcPr>
          <w:p w14:paraId="5D734A89" w14:textId="77777777" w:rsidR="002A0BDC" w:rsidRPr="002A0BDC" w:rsidRDefault="002A0BDC" w:rsidP="003C10CD">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No value assigned</w:t>
            </w:r>
          </w:p>
        </w:tc>
        <w:tc>
          <w:tcPr>
            <w:tcW w:w="1676" w:type="dxa"/>
          </w:tcPr>
          <w:p w14:paraId="5D734A8A"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50</w:t>
            </w:r>
          </w:p>
        </w:tc>
        <w:tc>
          <w:tcPr>
            <w:tcW w:w="1676" w:type="dxa"/>
          </w:tcPr>
          <w:p w14:paraId="5D734A8B"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w:t>
            </w:r>
          </w:p>
        </w:tc>
        <w:tc>
          <w:tcPr>
            <w:tcW w:w="1676" w:type="dxa"/>
          </w:tcPr>
          <w:p w14:paraId="5D734A8C"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21-60</w:t>
            </w:r>
          </w:p>
        </w:tc>
        <w:tc>
          <w:tcPr>
            <w:tcW w:w="1676" w:type="dxa"/>
          </w:tcPr>
          <w:p w14:paraId="5D734A8D"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3-9</w:t>
            </w:r>
          </w:p>
        </w:tc>
      </w:tr>
      <w:tr w:rsidR="002A0BDC" w:rsidRPr="002A0BDC" w14:paraId="5D734A95" w14:textId="77777777" w:rsidTr="00E242C1">
        <w:trPr>
          <w:trHeight w:val="762"/>
        </w:trPr>
        <w:tc>
          <w:tcPr>
            <w:cnfStyle w:val="001000000000" w:firstRow="0" w:lastRow="0" w:firstColumn="1" w:lastColumn="0" w:oddVBand="0" w:evenVBand="0" w:oddHBand="0" w:evenHBand="0" w:firstRowFirstColumn="0" w:firstRowLastColumn="0" w:lastRowFirstColumn="0" w:lastRowLastColumn="0"/>
            <w:tcW w:w="2237" w:type="dxa"/>
          </w:tcPr>
          <w:p w14:paraId="5D734A8F" w14:textId="77777777" w:rsidR="002A0BDC" w:rsidRPr="002A0BDC" w:rsidRDefault="002A0BDC" w:rsidP="003C10CD">
            <w:pPr>
              <w:keepNext/>
              <w:rPr>
                <w:rFonts w:ascii="Arial" w:hAnsi="Arial" w:cs="Arial"/>
                <w:color w:val="000000"/>
                <w:sz w:val="20"/>
                <w:szCs w:val="20"/>
              </w:rPr>
            </w:pPr>
            <w:r w:rsidRPr="002A0BDC">
              <w:rPr>
                <w:rFonts w:ascii="Arial" w:hAnsi="Arial" w:cs="Arial"/>
                <w:color w:val="000000"/>
                <w:sz w:val="20"/>
                <w:szCs w:val="20"/>
              </w:rPr>
              <w:t>16-44 years (Females -not pregnant)*</w:t>
            </w:r>
          </w:p>
        </w:tc>
        <w:tc>
          <w:tcPr>
            <w:tcW w:w="1113" w:type="dxa"/>
          </w:tcPr>
          <w:p w14:paraId="5D734A90"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95-100</w:t>
            </w:r>
          </w:p>
        </w:tc>
        <w:tc>
          <w:tcPr>
            <w:tcW w:w="1676" w:type="dxa"/>
          </w:tcPr>
          <w:p w14:paraId="5D734A91"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60</w:t>
            </w:r>
          </w:p>
        </w:tc>
        <w:tc>
          <w:tcPr>
            <w:tcW w:w="1676" w:type="dxa"/>
          </w:tcPr>
          <w:p w14:paraId="5D734A92"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9</w:t>
            </w:r>
          </w:p>
        </w:tc>
        <w:tc>
          <w:tcPr>
            <w:tcW w:w="1676" w:type="dxa"/>
          </w:tcPr>
          <w:p w14:paraId="5D734A93"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30-69</w:t>
            </w:r>
          </w:p>
        </w:tc>
        <w:tc>
          <w:tcPr>
            <w:tcW w:w="1676" w:type="dxa"/>
          </w:tcPr>
          <w:p w14:paraId="5D734A94"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6-13</w:t>
            </w:r>
          </w:p>
        </w:tc>
      </w:tr>
      <w:tr w:rsidR="002A0BDC" w:rsidRPr="002A0BDC" w14:paraId="5D734A9C"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96" w14:textId="77777777" w:rsidR="002A0BDC" w:rsidRPr="002A0BDC" w:rsidRDefault="002A0BDC" w:rsidP="003C10CD">
            <w:pPr>
              <w:keepNext/>
              <w:rPr>
                <w:rFonts w:ascii="Arial" w:hAnsi="Arial" w:cs="Arial"/>
                <w:color w:val="000000"/>
                <w:sz w:val="20"/>
                <w:szCs w:val="20"/>
              </w:rPr>
            </w:pPr>
            <w:r w:rsidRPr="002A0BDC">
              <w:rPr>
                <w:rFonts w:ascii="Arial" w:hAnsi="Arial" w:cs="Arial"/>
                <w:color w:val="000000"/>
                <w:sz w:val="20"/>
                <w:szCs w:val="20"/>
              </w:rPr>
              <w:t>16-44 years (Females -pregnancy EAR)*</w:t>
            </w:r>
          </w:p>
        </w:tc>
        <w:tc>
          <w:tcPr>
            <w:tcW w:w="1113" w:type="dxa"/>
          </w:tcPr>
          <w:p w14:paraId="5D734A97"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160</w:t>
            </w:r>
          </w:p>
        </w:tc>
        <w:tc>
          <w:tcPr>
            <w:tcW w:w="1676" w:type="dxa"/>
          </w:tcPr>
          <w:p w14:paraId="5D734A98"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95</w:t>
            </w:r>
          </w:p>
        </w:tc>
        <w:tc>
          <w:tcPr>
            <w:tcW w:w="1676" w:type="dxa"/>
          </w:tcPr>
          <w:p w14:paraId="5D734A99"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65</w:t>
            </w:r>
          </w:p>
        </w:tc>
        <w:tc>
          <w:tcPr>
            <w:tcW w:w="1676" w:type="dxa"/>
          </w:tcPr>
          <w:p w14:paraId="5D734A9A"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70-97</w:t>
            </w:r>
          </w:p>
        </w:tc>
        <w:tc>
          <w:tcPr>
            <w:tcW w:w="1676" w:type="dxa"/>
          </w:tcPr>
          <w:p w14:paraId="5D734A9B"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34-73</w:t>
            </w:r>
          </w:p>
        </w:tc>
      </w:tr>
      <w:tr w:rsidR="002A0BDC" w:rsidRPr="002A0BDC" w14:paraId="5D734AA3" w14:textId="77777777" w:rsidTr="00E242C1">
        <w:trPr>
          <w:trHeight w:val="27"/>
        </w:trPr>
        <w:tc>
          <w:tcPr>
            <w:cnfStyle w:val="001000000000" w:firstRow="0" w:lastRow="0" w:firstColumn="1" w:lastColumn="0" w:oddVBand="0" w:evenVBand="0" w:oddHBand="0" w:evenHBand="0" w:firstRowFirstColumn="0" w:firstRowLastColumn="0" w:lastRowFirstColumn="0" w:lastRowLastColumn="0"/>
            <w:tcW w:w="2237" w:type="dxa"/>
          </w:tcPr>
          <w:p w14:paraId="5D734A9D" w14:textId="77777777" w:rsidR="002A0BDC" w:rsidRPr="002A0BDC" w:rsidRDefault="00D81BD5" w:rsidP="003C10CD">
            <w:pPr>
              <w:keepNext/>
              <w:rPr>
                <w:rFonts w:ascii="Arial" w:hAnsi="Arial" w:cs="Arial"/>
                <w:color w:val="000000"/>
                <w:sz w:val="20"/>
                <w:szCs w:val="20"/>
              </w:rPr>
            </w:pPr>
            <w:r w:rsidRPr="002A0BDC">
              <w:rPr>
                <w:rFonts w:ascii="Arial" w:hAnsi="Arial" w:cs="Arial"/>
                <w:color w:val="000000"/>
                <w:sz w:val="20"/>
                <w:szCs w:val="20"/>
              </w:rPr>
              <w:t xml:space="preserve">16-44 years (Females </w:t>
            </w:r>
            <w:r>
              <w:rPr>
                <w:rFonts w:ascii="Arial" w:hAnsi="Arial" w:cs="Arial"/>
                <w:color w:val="000000"/>
                <w:sz w:val="20"/>
                <w:szCs w:val="20"/>
              </w:rPr>
              <w:t>–lactation</w:t>
            </w:r>
            <w:r w:rsidRPr="002A0BDC">
              <w:rPr>
                <w:rFonts w:ascii="Arial" w:hAnsi="Arial" w:cs="Arial"/>
                <w:color w:val="000000"/>
                <w:sz w:val="20"/>
                <w:szCs w:val="20"/>
              </w:rPr>
              <w:t xml:space="preserve"> EAR)*</w:t>
            </w:r>
          </w:p>
        </w:tc>
        <w:tc>
          <w:tcPr>
            <w:tcW w:w="1113" w:type="dxa"/>
          </w:tcPr>
          <w:p w14:paraId="5D734A9E"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190</w:t>
            </w:r>
          </w:p>
        </w:tc>
        <w:tc>
          <w:tcPr>
            <w:tcW w:w="1676" w:type="dxa"/>
          </w:tcPr>
          <w:p w14:paraId="5D734A9F"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100</w:t>
            </w:r>
          </w:p>
        </w:tc>
        <w:tc>
          <w:tcPr>
            <w:tcW w:w="1676" w:type="dxa"/>
          </w:tcPr>
          <w:p w14:paraId="5D734AA0"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85</w:t>
            </w:r>
          </w:p>
        </w:tc>
        <w:tc>
          <w:tcPr>
            <w:tcW w:w="1676" w:type="dxa"/>
          </w:tcPr>
          <w:p w14:paraId="5D734AA1"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86-99</w:t>
            </w:r>
          </w:p>
        </w:tc>
        <w:tc>
          <w:tcPr>
            <w:tcW w:w="1676" w:type="dxa"/>
          </w:tcPr>
          <w:p w14:paraId="5D734AA2" w14:textId="77777777" w:rsidR="002A0BDC" w:rsidRPr="002A0BDC" w:rsidRDefault="002A0BDC" w:rsidP="003C10C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0BDC">
              <w:rPr>
                <w:rFonts w:ascii="Arial" w:hAnsi="Arial" w:cs="Arial"/>
                <w:color w:val="000000"/>
                <w:sz w:val="20"/>
                <w:szCs w:val="20"/>
              </w:rPr>
              <w:t>56-91</w:t>
            </w:r>
          </w:p>
        </w:tc>
      </w:tr>
    </w:tbl>
    <w:p w14:paraId="5D734AA4" w14:textId="77777777" w:rsidR="00BB14B8" w:rsidRPr="00D30256" w:rsidRDefault="00BB14B8" w:rsidP="003C10CD">
      <w:pPr>
        <w:keepNext/>
        <w:spacing w:after="0"/>
        <w:rPr>
          <w:rFonts w:ascii="Arial" w:hAnsi="Arial" w:cs="Arial"/>
          <w:sz w:val="18"/>
          <w:szCs w:val="18"/>
          <w:lang w:val="en-AU" w:eastAsia="en-AU"/>
        </w:rPr>
      </w:pPr>
      <w:r>
        <w:rPr>
          <w:rFonts w:ascii="Arial" w:hAnsi="Arial" w:cs="Arial"/>
          <w:sz w:val="18"/>
          <w:szCs w:val="18"/>
          <w:lang w:val="en-AU" w:eastAsia="en-AU"/>
        </w:rPr>
        <w:t>#E</w:t>
      </w:r>
      <w:r w:rsidRPr="00D30256">
        <w:rPr>
          <w:rFonts w:ascii="Arial" w:hAnsi="Arial" w:cs="Arial"/>
          <w:sz w:val="18"/>
          <w:szCs w:val="18"/>
          <w:lang w:val="en-AU" w:eastAsia="en-AU"/>
        </w:rPr>
        <w:t>stimates for age group derived using the 2007 ANCNPAS (includes quantified salt consumption).</w:t>
      </w:r>
    </w:p>
    <w:p w14:paraId="5D734AA5" w14:textId="77777777" w:rsidR="00BB14B8" w:rsidRDefault="00BB14B8" w:rsidP="003C10CD">
      <w:pPr>
        <w:keepNext/>
        <w:spacing w:after="0"/>
        <w:rPr>
          <w:rFonts w:ascii="Arial" w:hAnsi="Arial" w:cs="Arial"/>
          <w:sz w:val="18"/>
          <w:szCs w:val="18"/>
          <w:lang w:val="en-AU" w:eastAsia="en-AU"/>
        </w:rPr>
      </w:pPr>
      <w:r w:rsidRPr="00D30256">
        <w:rPr>
          <w:rFonts w:ascii="Arial" w:hAnsi="Arial" w:cs="Arial"/>
          <w:sz w:val="18"/>
          <w:szCs w:val="18"/>
          <w:lang w:val="en-AU" w:eastAsia="en-AU"/>
        </w:rPr>
        <w:t>*Estimates for age group derived using the 1995</w:t>
      </w:r>
      <w:r>
        <w:rPr>
          <w:rFonts w:ascii="Arial" w:hAnsi="Arial" w:cs="Arial"/>
          <w:sz w:val="18"/>
          <w:szCs w:val="18"/>
          <w:lang w:val="en-AU" w:eastAsia="en-AU"/>
        </w:rPr>
        <w:t xml:space="preserve"> </w:t>
      </w:r>
      <w:r w:rsidRPr="00D30256">
        <w:rPr>
          <w:rFonts w:ascii="Arial" w:hAnsi="Arial" w:cs="Arial"/>
          <w:sz w:val="18"/>
          <w:szCs w:val="18"/>
          <w:lang w:val="en-AU" w:eastAsia="en-AU"/>
        </w:rPr>
        <w:t>National Nutrition Survey</w:t>
      </w:r>
      <w:r>
        <w:rPr>
          <w:rFonts w:ascii="Arial" w:hAnsi="Arial" w:cs="Arial"/>
          <w:sz w:val="18"/>
          <w:szCs w:val="18"/>
          <w:lang w:val="en-AU" w:eastAsia="en-AU"/>
        </w:rPr>
        <w:t>.</w:t>
      </w:r>
    </w:p>
    <w:p w14:paraId="5D734AA6" w14:textId="77777777" w:rsidR="00BB14B8" w:rsidRPr="003B3603" w:rsidRDefault="00BB14B8" w:rsidP="003C10CD">
      <w:pPr>
        <w:keepNext/>
        <w:rPr>
          <w:rFonts w:ascii="Arial" w:hAnsi="Arial" w:cs="Arial"/>
          <w:sz w:val="18"/>
          <w:szCs w:val="18"/>
          <w:lang w:val="en-AU" w:eastAsia="en-AU"/>
        </w:rPr>
      </w:pPr>
      <w:r>
        <w:rPr>
          <w:rFonts w:ascii="Arial" w:hAnsi="Arial" w:cs="Arial"/>
          <w:sz w:val="18"/>
          <w:szCs w:val="18"/>
          <w:lang w:val="en-AU" w:eastAsia="en-AU"/>
        </w:rPr>
        <w:t xml:space="preserve">Range values for adults with the consumer behaviour model </w:t>
      </w:r>
      <w:r w:rsidRPr="002F491C">
        <w:rPr>
          <w:rFonts w:ascii="Arial" w:eastAsia="Calibri" w:hAnsi="Arial" w:cs="Arial"/>
          <w:sz w:val="18"/>
          <w:szCs w:val="18"/>
        </w:rPr>
        <w:t xml:space="preserve">for consumers </w:t>
      </w:r>
      <w:r>
        <w:rPr>
          <w:rFonts w:ascii="Arial" w:eastAsia="Calibri" w:hAnsi="Arial" w:cs="Arial"/>
          <w:sz w:val="18"/>
          <w:szCs w:val="18"/>
        </w:rPr>
        <w:t xml:space="preserve">demonstrating the variation between those </w:t>
      </w:r>
      <w:r w:rsidRPr="002F491C">
        <w:rPr>
          <w:rFonts w:ascii="Arial" w:eastAsia="Calibri" w:hAnsi="Arial" w:cs="Arial"/>
          <w:sz w:val="18"/>
          <w:szCs w:val="18"/>
        </w:rPr>
        <w:t>who never choose iodised discretionary salt and consumers who always choose iodised discretionary salt, i.e. salt with a mean iodine concentration of 45 mg iodine/kg salt.</w:t>
      </w:r>
    </w:p>
    <w:p w14:paraId="5D734AA7" w14:textId="77777777" w:rsidR="003C10CD" w:rsidRDefault="003C10CD" w:rsidP="00CC5193">
      <w:pPr>
        <w:rPr>
          <w:rFonts w:ascii="Arial" w:hAnsi="Arial" w:cs="Arial"/>
          <w:sz w:val="22"/>
        </w:rPr>
      </w:pPr>
    </w:p>
    <w:p w14:paraId="5D734AA8" w14:textId="08A870F3" w:rsidR="000C5BF6" w:rsidRPr="000C5BF6" w:rsidRDefault="000C5BF6" w:rsidP="00CC5193">
      <w:pPr>
        <w:rPr>
          <w:rFonts w:ascii="Arial" w:hAnsi="Arial" w:cs="Arial"/>
          <w:sz w:val="22"/>
        </w:rPr>
      </w:pPr>
      <w:r w:rsidRPr="000C5BF6">
        <w:rPr>
          <w:rFonts w:ascii="Arial" w:hAnsi="Arial" w:cs="Arial"/>
          <w:sz w:val="22"/>
        </w:rPr>
        <w:t xml:space="preserve">The proportion of children aged 2-3 years </w:t>
      </w:r>
      <w:r w:rsidR="00C400AB">
        <w:rPr>
          <w:rFonts w:ascii="Arial" w:hAnsi="Arial" w:cs="Arial"/>
          <w:sz w:val="22"/>
        </w:rPr>
        <w:t>estimated to have</w:t>
      </w:r>
      <w:r w:rsidR="00C400AB" w:rsidRPr="000C5BF6">
        <w:rPr>
          <w:rFonts w:ascii="Arial" w:hAnsi="Arial" w:cs="Arial"/>
          <w:sz w:val="22"/>
        </w:rPr>
        <w:t xml:space="preserve"> </w:t>
      </w:r>
      <w:r w:rsidRPr="000C5BF6">
        <w:rPr>
          <w:rFonts w:ascii="Arial" w:hAnsi="Arial" w:cs="Arial"/>
          <w:sz w:val="22"/>
        </w:rPr>
        <w:t xml:space="preserve">inadequate intake levels of dietary iodine decreased from 9% before fortification to less than 1% after mandatory iodine fortification of bread. Similarly, the proportion of </w:t>
      </w:r>
      <w:r w:rsidR="00F343F7">
        <w:rPr>
          <w:rFonts w:ascii="Arial" w:hAnsi="Arial" w:cs="Arial"/>
          <w:sz w:val="22"/>
        </w:rPr>
        <w:t>females</w:t>
      </w:r>
      <w:r w:rsidRPr="000C5BF6">
        <w:rPr>
          <w:rFonts w:ascii="Arial" w:hAnsi="Arial" w:cs="Arial"/>
          <w:sz w:val="22"/>
        </w:rPr>
        <w:t xml:space="preserve"> of children-bearing age (non-pregnant) </w:t>
      </w:r>
      <w:r w:rsidR="00C400AB">
        <w:rPr>
          <w:rFonts w:ascii="Arial" w:hAnsi="Arial" w:cs="Arial"/>
          <w:sz w:val="22"/>
        </w:rPr>
        <w:t>estimated to have</w:t>
      </w:r>
      <w:r w:rsidR="00C400AB" w:rsidRPr="000C5BF6">
        <w:rPr>
          <w:rFonts w:ascii="Arial" w:hAnsi="Arial" w:cs="Arial"/>
          <w:sz w:val="22"/>
        </w:rPr>
        <w:t xml:space="preserve"> </w:t>
      </w:r>
      <w:r w:rsidR="001E2ED4">
        <w:rPr>
          <w:rFonts w:ascii="Arial" w:hAnsi="Arial" w:cs="Arial"/>
          <w:sz w:val="22"/>
        </w:rPr>
        <w:t>i</w:t>
      </w:r>
      <w:r w:rsidRPr="000C5BF6">
        <w:rPr>
          <w:rFonts w:ascii="Arial" w:hAnsi="Arial" w:cs="Arial"/>
          <w:sz w:val="22"/>
        </w:rPr>
        <w:t xml:space="preserve">nadequate iodine intakes decreased from </w:t>
      </w:r>
      <w:r>
        <w:rPr>
          <w:rFonts w:ascii="Arial" w:hAnsi="Arial" w:cs="Arial"/>
          <w:sz w:val="22"/>
        </w:rPr>
        <w:t>60</w:t>
      </w:r>
      <w:r w:rsidRPr="000C5BF6">
        <w:rPr>
          <w:rFonts w:ascii="Arial" w:hAnsi="Arial" w:cs="Arial"/>
          <w:sz w:val="22"/>
        </w:rPr>
        <w:t xml:space="preserve">% to </w:t>
      </w:r>
      <w:r>
        <w:rPr>
          <w:rFonts w:ascii="Arial" w:hAnsi="Arial" w:cs="Arial"/>
          <w:sz w:val="22"/>
        </w:rPr>
        <w:t>9</w:t>
      </w:r>
      <w:r w:rsidRPr="000C5BF6">
        <w:rPr>
          <w:rFonts w:ascii="Arial" w:hAnsi="Arial" w:cs="Arial"/>
          <w:sz w:val="22"/>
        </w:rPr>
        <w:t xml:space="preserve">% following mandatory iodine fortification of bread. </w:t>
      </w:r>
      <w:r w:rsidR="00C400AB">
        <w:rPr>
          <w:rFonts w:ascii="Arial" w:hAnsi="Arial" w:cs="Arial"/>
          <w:sz w:val="22"/>
        </w:rPr>
        <w:t>Ten percent</w:t>
      </w:r>
      <w:r w:rsidRPr="000C5BF6">
        <w:rPr>
          <w:rFonts w:ascii="Arial" w:hAnsi="Arial" w:cs="Arial"/>
          <w:sz w:val="22"/>
        </w:rPr>
        <w:t xml:space="preserve"> of children aged 2-16 years </w:t>
      </w:r>
      <w:r w:rsidR="00C400AB">
        <w:rPr>
          <w:rFonts w:ascii="Arial" w:hAnsi="Arial" w:cs="Arial"/>
          <w:sz w:val="22"/>
        </w:rPr>
        <w:t xml:space="preserve">were </w:t>
      </w:r>
      <w:r w:rsidR="001E2ED4">
        <w:rPr>
          <w:rFonts w:ascii="Arial" w:hAnsi="Arial" w:cs="Arial"/>
          <w:sz w:val="22"/>
        </w:rPr>
        <w:lastRenderedPageBreak/>
        <w:t>e</w:t>
      </w:r>
      <w:r w:rsidR="00C400AB">
        <w:rPr>
          <w:rFonts w:ascii="Arial" w:hAnsi="Arial" w:cs="Arial"/>
          <w:sz w:val="22"/>
        </w:rPr>
        <w:t>stimated to have</w:t>
      </w:r>
      <w:r w:rsidR="00C400AB" w:rsidRPr="000C5BF6">
        <w:rPr>
          <w:rFonts w:ascii="Arial" w:hAnsi="Arial" w:cs="Arial"/>
          <w:sz w:val="22"/>
        </w:rPr>
        <w:t xml:space="preserve"> </w:t>
      </w:r>
      <w:r w:rsidRPr="000C5BF6">
        <w:rPr>
          <w:rFonts w:ascii="Arial" w:hAnsi="Arial" w:cs="Arial"/>
          <w:sz w:val="22"/>
        </w:rPr>
        <w:t xml:space="preserve">inadequate iodine intakes levels before iodine fortification, this proportion decreased to less than 1% after fortification. Older adults also had a decrease in the proportion </w:t>
      </w:r>
      <w:r w:rsidR="00C400AB">
        <w:rPr>
          <w:rFonts w:ascii="Arial" w:hAnsi="Arial" w:cs="Arial"/>
          <w:sz w:val="22"/>
        </w:rPr>
        <w:t>estimated to have</w:t>
      </w:r>
      <w:r w:rsidRPr="000C5BF6">
        <w:rPr>
          <w:rFonts w:ascii="Arial" w:hAnsi="Arial" w:cs="Arial"/>
          <w:sz w:val="22"/>
        </w:rPr>
        <w:t xml:space="preserve"> inadequate iodine intakes. The </w:t>
      </w:r>
      <w:r w:rsidR="005A4D55">
        <w:rPr>
          <w:rFonts w:ascii="Arial" w:hAnsi="Arial" w:cs="Arial"/>
          <w:sz w:val="22"/>
        </w:rPr>
        <w:t xml:space="preserve">estimated </w:t>
      </w:r>
      <w:r w:rsidRPr="000C5BF6">
        <w:rPr>
          <w:rFonts w:ascii="Arial" w:hAnsi="Arial" w:cs="Arial"/>
          <w:sz w:val="22"/>
        </w:rPr>
        <w:t>decrease for persons aged 50-69 years was from 5</w:t>
      </w:r>
      <w:r w:rsidR="00137CEC">
        <w:rPr>
          <w:rFonts w:ascii="Arial" w:hAnsi="Arial" w:cs="Arial"/>
          <w:sz w:val="22"/>
        </w:rPr>
        <w:t>0</w:t>
      </w:r>
      <w:r w:rsidRPr="000C5BF6">
        <w:rPr>
          <w:rFonts w:ascii="Arial" w:hAnsi="Arial" w:cs="Arial"/>
          <w:sz w:val="22"/>
        </w:rPr>
        <w:t xml:space="preserve">% before fortification to 6% after fortification. The </w:t>
      </w:r>
      <w:r w:rsidR="005A4D55">
        <w:rPr>
          <w:rFonts w:ascii="Arial" w:hAnsi="Arial" w:cs="Arial"/>
          <w:sz w:val="22"/>
        </w:rPr>
        <w:t xml:space="preserve">proportion </w:t>
      </w:r>
      <w:r w:rsidRPr="000C5BF6">
        <w:rPr>
          <w:rFonts w:ascii="Arial" w:hAnsi="Arial" w:cs="Arial"/>
          <w:sz w:val="22"/>
        </w:rPr>
        <w:t xml:space="preserve">of the population aged 70 years and above </w:t>
      </w:r>
      <w:r w:rsidR="00C400AB">
        <w:rPr>
          <w:rFonts w:ascii="Arial" w:hAnsi="Arial" w:cs="Arial"/>
          <w:sz w:val="22"/>
        </w:rPr>
        <w:t>estimated to have</w:t>
      </w:r>
      <w:r w:rsidR="00C400AB" w:rsidRPr="000C5BF6">
        <w:rPr>
          <w:rFonts w:ascii="Arial" w:hAnsi="Arial" w:cs="Arial"/>
          <w:sz w:val="22"/>
        </w:rPr>
        <w:t xml:space="preserve"> </w:t>
      </w:r>
      <w:r w:rsidRPr="000C5BF6">
        <w:rPr>
          <w:rFonts w:ascii="Arial" w:hAnsi="Arial" w:cs="Arial"/>
          <w:sz w:val="22"/>
        </w:rPr>
        <w:t>inadequate iodine intake decreased from 6</w:t>
      </w:r>
      <w:r w:rsidR="00137CEC">
        <w:rPr>
          <w:rFonts w:ascii="Arial" w:hAnsi="Arial" w:cs="Arial"/>
          <w:sz w:val="22"/>
        </w:rPr>
        <w:t>0</w:t>
      </w:r>
      <w:r w:rsidRPr="000C5BF6">
        <w:rPr>
          <w:rFonts w:ascii="Arial" w:hAnsi="Arial" w:cs="Arial"/>
          <w:sz w:val="22"/>
        </w:rPr>
        <w:t xml:space="preserve">% before fortification to 7% after fortification.    </w:t>
      </w:r>
    </w:p>
    <w:p w14:paraId="5D734AA9" w14:textId="77777777" w:rsidR="0042362E" w:rsidRDefault="000C5BF6" w:rsidP="00CC5193">
      <w:pPr>
        <w:rPr>
          <w:rFonts w:ascii="Arial" w:hAnsi="Arial" w:cs="Arial"/>
          <w:sz w:val="22"/>
        </w:rPr>
      </w:pPr>
      <w:r w:rsidRPr="00C8722D">
        <w:rPr>
          <w:rFonts w:ascii="Arial" w:hAnsi="Arial" w:cs="Arial"/>
          <w:sz w:val="22"/>
        </w:rPr>
        <w:t xml:space="preserve">The decrease in the proportion of the target population </w:t>
      </w:r>
      <w:r w:rsidR="00C400AB">
        <w:rPr>
          <w:rFonts w:ascii="Arial" w:hAnsi="Arial" w:cs="Arial"/>
          <w:sz w:val="22"/>
        </w:rPr>
        <w:t>estimated to have</w:t>
      </w:r>
      <w:r w:rsidR="00C400AB" w:rsidRPr="000C5BF6">
        <w:rPr>
          <w:rFonts w:ascii="Arial" w:hAnsi="Arial" w:cs="Arial"/>
          <w:sz w:val="22"/>
        </w:rPr>
        <w:t xml:space="preserve"> </w:t>
      </w:r>
      <w:r w:rsidRPr="00C8722D">
        <w:rPr>
          <w:rFonts w:ascii="Arial" w:hAnsi="Arial" w:cs="Arial"/>
          <w:sz w:val="22"/>
        </w:rPr>
        <w:t xml:space="preserve">inadequate iodine intake is an important </w:t>
      </w:r>
      <w:r w:rsidR="00C400AB">
        <w:rPr>
          <w:rFonts w:ascii="Arial" w:hAnsi="Arial" w:cs="Arial"/>
          <w:sz w:val="22"/>
        </w:rPr>
        <w:t xml:space="preserve">interim </w:t>
      </w:r>
      <w:r w:rsidRPr="00C8722D">
        <w:rPr>
          <w:rFonts w:ascii="Arial" w:hAnsi="Arial" w:cs="Arial"/>
          <w:sz w:val="22"/>
        </w:rPr>
        <w:t xml:space="preserve">outcome for </w:t>
      </w:r>
      <w:r w:rsidR="00C400AB">
        <w:rPr>
          <w:rFonts w:ascii="Arial" w:hAnsi="Arial" w:cs="Arial"/>
          <w:sz w:val="22"/>
        </w:rPr>
        <w:t xml:space="preserve">the </w:t>
      </w:r>
      <w:r w:rsidR="00F76694">
        <w:rPr>
          <w:rFonts w:ascii="Arial" w:hAnsi="Arial" w:cs="Arial"/>
          <w:sz w:val="22"/>
        </w:rPr>
        <w:t xml:space="preserve">health </w:t>
      </w:r>
      <w:r w:rsidR="00C400AB">
        <w:rPr>
          <w:rFonts w:ascii="Arial" w:hAnsi="Arial" w:cs="Arial"/>
          <w:sz w:val="22"/>
        </w:rPr>
        <w:t xml:space="preserve">outcome of </w:t>
      </w:r>
      <w:r w:rsidRPr="00C8722D">
        <w:rPr>
          <w:rFonts w:ascii="Arial" w:hAnsi="Arial" w:cs="Arial"/>
          <w:sz w:val="22"/>
        </w:rPr>
        <w:t xml:space="preserve">reducing the number of children who will be affected by the health impacts of low levels of dietary iodine intake. </w:t>
      </w:r>
    </w:p>
    <w:p w14:paraId="5D734AAA" w14:textId="77777777" w:rsidR="005F7CE6" w:rsidRPr="005F7CE6" w:rsidRDefault="005F7CE6" w:rsidP="00622A8C">
      <w:pPr>
        <w:pStyle w:val="Heading3"/>
      </w:pPr>
      <w:bookmarkStart w:id="34" w:name="_Toc430854514"/>
      <w:r w:rsidRPr="005F7CE6">
        <w:rPr>
          <w:rStyle w:val="Heading3Char"/>
          <w:i/>
        </w:rPr>
        <w:t>6.4.2</w:t>
      </w:r>
      <w:r w:rsidR="0042362E" w:rsidRPr="005F7CE6">
        <w:tab/>
      </w:r>
      <w:r w:rsidR="00C45225">
        <w:t>Usual i</w:t>
      </w:r>
      <w:r w:rsidR="00B443E6">
        <w:t>ntake</w:t>
      </w:r>
      <w:r w:rsidR="0042362E" w:rsidRPr="005F7CE6">
        <w:t xml:space="preserve"> </w:t>
      </w:r>
      <w:r>
        <w:t xml:space="preserve">estimates </w:t>
      </w:r>
      <w:r w:rsidR="0042362E" w:rsidRPr="005F7CE6">
        <w:t>above the upper level</w:t>
      </w:r>
      <w:r w:rsidR="005B35F4" w:rsidRPr="005F7CE6">
        <w:t xml:space="preserve"> (UL)</w:t>
      </w:r>
      <w:bookmarkEnd w:id="34"/>
    </w:p>
    <w:p w14:paraId="5D734AAB" w14:textId="77777777" w:rsidR="00E92CBA" w:rsidRDefault="00AC64E2" w:rsidP="00CC5193">
      <w:pPr>
        <w:rPr>
          <w:rFonts w:ascii="Arial" w:hAnsi="Arial" w:cs="Arial"/>
          <w:sz w:val="22"/>
        </w:rPr>
      </w:pPr>
      <w:r w:rsidRPr="00AC64E2">
        <w:rPr>
          <w:rFonts w:ascii="Arial" w:hAnsi="Arial" w:cs="Arial"/>
          <w:sz w:val="22"/>
        </w:rPr>
        <w:t xml:space="preserve">A small segment of the population </w:t>
      </w:r>
      <w:r w:rsidR="00C400AB">
        <w:rPr>
          <w:rFonts w:ascii="Arial" w:hAnsi="Arial" w:cs="Arial"/>
          <w:sz w:val="22"/>
        </w:rPr>
        <w:t>w</w:t>
      </w:r>
      <w:r w:rsidR="00C86BAF">
        <w:rPr>
          <w:rFonts w:ascii="Arial" w:hAnsi="Arial" w:cs="Arial"/>
          <w:sz w:val="22"/>
        </w:rPr>
        <w:t>as</w:t>
      </w:r>
      <w:r w:rsidR="00C400AB">
        <w:rPr>
          <w:rFonts w:ascii="Arial" w:hAnsi="Arial" w:cs="Arial"/>
          <w:sz w:val="22"/>
        </w:rPr>
        <w:t xml:space="preserve"> </w:t>
      </w:r>
      <w:r w:rsidR="00C86BAF">
        <w:rPr>
          <w:rFonts w:ascii="Arial" w:hAnsi="Arial" w:cs="Arial"/>
          <w:sz w:val="22"/>
        </w:rPr>
        <w:t>e</w:t>
      </w:r>
      <w:r w:rsidR="00C400AB">
        <w:rPr>
          <w:rFonts w:ascii="Arial" w:hAnsi="Arial" w:cs="Arial"/>
          <w:sz w:val="22"/>
        </w:rPr>
        <w:t>stimated to have</w:t>
      </w:r>
      <w:r w:rsidR="00C400AB" w:rsidRPr="000C5BF6">
        <w:rPr>
          <w:rFonts w:ascii="Arial" w:hAnsi="Arial" w:cs="Arial"/>
          <w:sz w:val="22"/>
        </w:rPr>
        <w:t xml:space="preserve"> </w:t>
      </w:r>
      <w:r w:rsidRPr="00AC64E2">
        <w:rPr>
          <w:rFonts w:ascii="Arial" w:hAnsi="Arial" w:cs="Arial"/>
          <w:sz w:val="22"/>
        </w:rPr>
        <w:t xml:space="preserve">dietary </w:t>
      </w:r>
      <w:r w:rsidR="00C45225">
        <w:rPr>
          <w:rFonts w:ascii="Arial" w:hAnsi="Arial" w:cs="Arial"/>
          <w:sz w:val="22"/>
        </w:rPr>
        <w:t xml:space="preserve">usual </w:t>
      </w:r>
      <w:r w:rsidRPr="00AC64E2">
        <w:rPr>
          <w:rFonts w:ascii="Arial" w:hAnsi="Arial" w:cs="Arial"/>
          <w:sz w:val="22"/>
        </w:rPr>
        <w:t>iodine intake</w:t>
      </w:r>
      <w:r w:rsidR="00C400AB">
        <w:rPr>
          <w:rFonts w:ascii="Arial" w:hAnsi="Arial" w:cs="Arial"/>
          <w:sz w:val="22"/>
        </w:rPr>
        <w:t>s</w:t>
      </w:r>
      <w:r w:rsidRPr="00AC64E2">
        <w:rPr>
          <w:rFonts w:ascii="Arial" w:hAnsi="Arial" w:cs="Arial"/>
          <w:sz w:val="22"/>
        </w:rPr>
        <w:t xml:space="preserve"> above the </w:t>
      </w:r>
      <w:r w:rsidR="005B35F4">
        <w:rPr>
          <w:rFonts w:ascii="Arial" w:hAnsi="Arial" w:cs="Arial"/>
          <w:sz w:val="22"/>
        </w:rPr>
        <w:t>UL</w:t>
      </w:r>
      <w:r w:rsidRPr="00AC64E2">
        <w:rPr>
          <w:rFonts w:ascii="Arial" w:hAnsi="Arial" w:cs="Arial"/>
          <w:sz w:val="22"/>
        </w:rPr>
        <w:t xml:space="preserve"> both before and after fortification. </w:t>
      </w:r>
      <w:r w:rsidRPr="008C2202">
        <w:rPr>
          <w:rFonts w:ascii="Arial" w:hAnsi="Arial" w:cs="Arial"/>
          <w:color w:val="000000" w:themeColor="text1"/>
          <w:sz w:val="22"/>
        </w:rPr>
        <w:t xml:space="preserve">Table </w:t>
      </w:r>
      <w:r w:rsidR="00DA4F8C">
        <w:rPr>
          <w:rFonts w:ascii="Arial" w:hAnsi="Arial" w:cs="Arial"/>
          <w:color w:val="000000" w:themeColor="text1"/>
          <w:sz w:val="22"/>
        </w:rPr>
        <w:t>7</w:t>
      </w:r>
      <w:r w:rsidRPr="008C2202">
        <w:rPr>
          <w:rFonts w:ascii="Arial" w:hAnsi="Arial" w:cs="Arial"/>
          <w:color w:val="000000" w:themeColor="text1"/>
          <w:sz w:val="22"/>
        </w:rPr>
        <w:t xml:space="preserve"> </w:t>
      </w:r>
      <w:r w:rsidRPr="00AC64E2">
        <w:rPr>
          <w:rFonts w:ascii="Arial" w:hAnsi="Arial" w:cs="Arial"/>
          <w:sz w:val="22"/>
        </w:rPr>
        <w:t xml:space="preserve">presents the results of estimates for the prevalence of excessive levels of </w:t>
      </w:r>
      <w:r>
        <w:rPr>
          <w:rFonts w:ascii="Arial" w:hAnsi="Arial" w:cs="Arial"/>
          <w:sz w:val="22"/>
        </w:rPr>
        <w:t xml:space="preserve">dietary </w:t>
      </w:r>
      <w:r w:rsidRPr="00AC64E2">
        <w:rPr>
          <w:rFonts w:ascii="Arial" w:hAnsi="Arial" w:cs="Arial"/>
          <w:sz w:val="22"/>
        </w:rPr>
        <w:t xml:space="preserve">iodine intake within the Australian population following iodine fortification of bread. It </w:t>
      </w:r>
      <w:r w:rsidR="00C400AB">
        <w:rPr>
          <w:rFonts w:ascii="Arial" w:hAnsi="Arial" w:cs="Arial"/>
          <w:sz w:val="22"/>
        </w:rPr>
        <w:t>indicate</w:t>
      </w:r>
      <w:r w:rsidR="005A4D55">
        <w:rPr>
          <w:rFonts w:ascii="Arial" w:hAnsi="Arial" w:cs="Arial"/>
          <w:sz w:val="22"/>
        </w:rPr>
        <w:t>d</w:t>
      </w:r>
      <w:r w:rsidR="00C400AB" w:rsidRPr="00AC64E2">
        <w:rPr>
          <w:rFonts w:ascii="Arial" w:hAnsi="Arial" w:cs="Arial"/>
          <w:sz w:val="22"/>
        </w:rPr>
        <w:t xml:space="preserve"> </w:t>
      </w:r>
      <w:r w:rsidRPr="00AC64E2">
        <w:rPr>
          <w:rFonts w:ascii="Arial" w:hAnsi="Arial" w:cs="Arial"/>
          <w:sz w:val="22"/>
        </w:rPr>
        <w:t xml:space="preserve">that the only population age group likely to have excessive iodine intakes following fortification </w:t>
      </w:r>
      <w:r w:rsidR="005A4D55">
        <w:rPr>
          <w:rFonts w:ascii="Arial" w:hAnsi="Arial" w:cs="Arial"/>
          <w:sz w:val="22"/>
        </w:rPr>
        <w:t>was</w:t>
      </w:r>
      <w:r w:rsidR="005A4D55" w:rsidRPr="00AC64E2">
        <w:rPr>
          <w:rFonts w:ascii="Arial" w:hAnsi="Arial" w:cs="Arial"/>
          <w:sz w:val="22"/>
        </w:rPr>
        <w:t xml:space="preserve"> </w:t>
      </w:r>
      <w:r w:rsidRPr="00AC64E2">
        <w:rPr>
          <w:rFonts w:ascii="Arial" w:hAnsi="Arial" w:cs="Arial"/>
          <w:sz w:val="22"/>
        </w:rPr>
        <w:t>the 2-3 year olds</w:t>
      </w:r>
      <w:r w:rsidR="005A4D55">
        <w:rPr>
          <w:rFonts w:ascii="Arial" w:hAnsi="Arial" w:cs="Arial"/>
          <w:sz w:val="22"/>
        </w:rPr>
        <w:t>, with</w:t>
      </w:r>
      <w:r w:rsidRPr="00AC64E2">
        <w:rPr>
          <w:rFonts w:ascii="Arial" w:hAnsi="Arial" w:cs="Arial"/>
          <w:sz w:val="22"/>
        </w:rPr>
        <w:t xml:space="preserve"> 2</w:t>
      </w:r>
      <w:r>
        <w:rPr>
          <w:rFonts w:ascii="Arial" w:hAnsi="Arial" w:cs="Arial"/>
          <w:sz w:val="22"/>
        </w:rPr>
        <w:t>0</w:t>
      </w:r>
      <w:r w:rsidRPr="00AC64E2">
        <w:rPr>
          <w:rFonts w:ascii="Arial" w:hAnsi="Arial" w:cs="Arial"/>
          <w:sz w:val="22"/>
        </w:rPr>
        <w:t xml:space="preserve">% of this age group </w:t>
      </w:r>
      <w:r w:rsidR="005A4D55">
        <w:rPr>
          <w:rFonts w:ascii="Arial" w:hAnsi="Arial" w:cs="Arial"/>
          <w:sz w:val="22"/>
        </w:rPr>
        <w:t>estimated to</w:t>
      </w:r>
      <w:r w:rsidRPr="00AC64E2">
        <w:rPr>
          <w:rFonts w:ascii="Arial" w:hAnsi="Arial" w:cs="Arial"/>
          <w:sz w:val="22"/>
        </w:rPr>
        <w:t xml:space="preserve"> have iodine intakes above the UL after fortification, compared to 7% before iodine fortification. </w:t>
      </w:r>
      <w:r w:rsidR="0027675B" w:rsidRPr="001D3A88">
        <w:rPr>
          <w:rFonts w:ascii="Arial" w:hAnsi="Arial" w:cs="Arial"/>
          <w:sz w:val="22"/>
        </w:rPr>
        <w:t xml:space="preserve">The increases in </w:t>
      </w:r>
      <w:r w:rsidR="0027675B">
        <w:rPr>
          <w:rFonts w:ascii="Arial" w:hAnsi="Arial" w:cs="Arial"/>
          <w:sz w:val="22"/>
        </w:rPr>
        <w:t xml:space="preserve">estimated </w:t>
      </w:r>
      <w:r w:rsidR="0027675B" w:rsidRPr="001D3A88">
        <w:rPr>
          <w:rFonts w:ascii="Arial" w:hAnsi="Arial" w:cs="Arial"/>
          <w:sz w:val="22"/>
        </w:rPr>
        <w:t xml:space="preserve">mean </w:t>
      </w:r>
      <w:r w:rsidR="00E96406">
        <w:rPr>
          <w:rFonts w:ascii="Arial" w:hAnsi="Arial" w:cs="Arial"/>
          <w:sz w:val="22"/>
        </w:rPr>
        <w:t xml:space="preserve">usual </w:t>
      </w:r>
      <w:r w:rsidR="0027675B">
        <w:rPr>
          <w:rFonts w:ascii="Arial" w:hAnsi="Arial" w:cs="Arial"/>
          <w:sz w:val="22"/>
        </w:rPr>
        <w:t xml:space="preserve">iodine </w:t>
      </w:r>
      <w:r w:rsidR="0027675B" w:rsidRPr="001D3A88">
        <w:rPr>
          <w:rFonts w:ascii="Arial" w:hAnsi="Arial" w:cs="Arial"/>
          <w:sz w:val="22"/>
        </w:rPr>
        <w:t xml:space="preserve">intake values and the decrease in the proportion of the different population sub-groups with inadequate iodine intake </w:t>
      </w:r>
      <w:r w:rsidR="0027675B">
        <w:rPr>
          <w:rFonts w:ascii="Arial" w:hAnsi="Arial" w:cs="Arial"/>
          <w:sz w:val="22"/>
        </w:rPr>
        <w:t>were</w:t>
      </w:r>
      <w:r w:rsidR="0027675B" w:rsidRPr="001D3A88">
        <w:rPr>
          <w:rFonts w:ascii="Arial" w:hAnsi="Arial" w:cs="Arial"/>
          <w:sz w:val="22"/>
        </w:rPr>
        <w:t xml:space="preserve"> similar to the predicted values in some cases and more than predicted in others</w:t>
      </w:r>
      <w:r w:rsidR="0027675B">
        <w:rPr>
          <w:rFonts w:ascii="Arial" w:hAnsi="Arial" w:cs="Arial"/>
          <w:sz w:val="22"/>
        </w:rPr>
        <w:t xml:space="preserve"> (see section 9). </w:t>
      </w:r>
      <w:r w:rsidR="00C86BAF">
        <w:rPr>
          <w:rFonts w:ascii="Arial" w:hAnsi="Arial" w:cs="Arial"/>
          <w:sz w:val="22"/>
        </w:rPr>
        <w:t>T</w:t>
      </w:r>
      <w:r w:rsidR="00C86BAF" w:rsidRPr="00AC64E2">
        <w:rPr>
          <w:rFonts w:ascii="Arial" w:hAnsi="Arial" w:cs="Arial"/>
          <w:sz w:val="22"/>
        </w:rPr>
        <w:t xml:space="preserve">he proportion of children </w:t>
      </w:r>
      <w:r w:rsidR="00C86BAF">
        <w:rPr>
          <w:rFonts w:ascii="Arial" w:hAnsi="Arial" w:cs="Arial"/>
          <w:sz w:val="22"/>
        </w:rPr>
        <w:t>estimated to have</w:t>
      </w:r>
      <w:r w:rsidR="00C86BAF" w:rsidRPr="000C5BF6">
        <w:rPr>
          <w:rFonts w:ascii="Arial" w:hAnsi="Arial" w:cs="Arial"/>
          <w:sz w:val="22"/>
        </w:rPr>
        <w:t xml:space="preserve"> </w:t>
      </w:r>
      <w:r w:rsidR="00C86BAF" w:rsidRPr="00AC64E2">
        <w:rPr>
          <w:rFonts w:ascii="Arial" w:hAnsi="Arial" w:cs="Arial"/>
          <w:sz w:val="22"/>
        </w:rPr>
        <w:t>excessive iodine intake decrease</w:t>
      </w:r>
      <w:r w:rsidR="005A4D55">
        <w:rPr>
          <w:rFonts w:ascii="Arial" w:hAnsi="Arial" w:cs="Arial"/>
          <w:sz w:val="22"/>
        </w:rPr>
        <w:t>d</w:t>
      </w:r>
      <w:r w:rsidR="00C86BAF" w:rsidRPr="00AC64E2">
        <w:rPr>
          <w:rFonts w:ascii="Arial" w:hAnsi="Arial" w:cs="Arial"/>
          <w:sz w:val="22"/>
        </w:rPr>
        <w:t xml:space="preserve"> substantially after 3 years of age with less than 1% of children aged 4-16 year olds having intakes that exceed</w:t>
      </w:r>
      <w:r w:rsidR="005A4D55">
        <w:rPr>
          <w:rFonts w:ascii="Arial" w:hAnsi="Arial" w:cs="Arial"/>
          <w:sz w:val="22"/>
        </w:rPr>
        <w:t>ed</w:t>
      </w:r>
      <w:r w:rsidR="00C86BAF" w:rsidRPr="00AC64E2">
        <w:rPr>
          <w:rFonts w:ascii="Arial" w:hAnsi="Arial" w:cs="Arial"/>
          <w:sz w:val="22"/>
        </w:rPr>
        <w:t xml:space="preserve"> the upper limit of intake.</w:t>
      </w:r>
      <w:r w:rsidR="00C86BAF">
        <w:rPr>
          <w:rFonts w:ascii="Arial" w:hAnsi="Arial" w:cs="Arial"/>
          <w:sz w:val="22"/>
        </w:rPr>
        <w:t xml:space="preserve"> </w:t>
      </w:r>
    </w:p>
    <w:p w14:paraId="5D734AAC" w14:textId="77777777" w:rsidR="003713BA" w:rsidRDefault="00AC64E2" w:rsidP="00CC5193">
      <w:pPr>
        <w:rPr>
          <w:rFonts w:ascii="Arial" w:hAnsi="Arial" w:cs="Arial"/>
          <w:sz w:val="22"/>
        </w:rPr>
      </w:pPr>
      <w:r>
        <w:rPr>
          <w:rFonts w:ascii="Arial" w:hAnsi="Arial" w:cs="Arial"/>
          <w:sz w:val="22"/>
        </w:rPr>
        <w:t>Altho</w:t>
      </w:r>
      <w:r w:rsidR="005F7CE6">
        <w:rPr>
          <w:rFonts w:ascii="Arial" w:hAnsi="Arial" w:cs="Arial"/>
          <w:sz w:val="22"/>
        </w:rPr>
        <w:t>ug</w:t>
      </w:r>
      <w:r>
        <w:rPr>
          <w:rFonts w:ascii="Arial" w:hAnsi="Arial" w:cs="Arial"/>
          <w:sz w:val="22"/>
        </w:rPr>
        <w:t>h the estimate indicate</w:t>
      </w:r>
      <w:r w:rsidR="000E3D09">
        <w:rPr>
          <w:rFonts w:ascii="Arial" w:hAnsi="Arial" w:cs="Arial"/>
          <w:sz w:val="22"/>
        </w:rPr>
        <w:t>s</w:t>
      </w:r>
      <w:r>
        <w:rPr>
          <w:rFonts w:ascii="Arial" w:hAnsi="Arial" w:cs="Arial"/>
          <w:sz w:val="22"/>
        </w:rPr>
        <w:t xml:space="preserve"> that about one fifth </w:t>
      </w:r>
      <w:r w:rsidRPr="00AC64E2">
        <w:rPr>
          <w:rFonts w:ascii="Arial" w:hAnsi="Arial" w:cs="Arial"/>
          <w:sz w:val="22"/>
        </w:rPr>
        <w:t xml:space="preserve">of 2-3 years olds may have excessive iodine intakes, the extent to which the age group exceeds the upper limit </w:t>
      </w:r>
      <w:r w:rsidR="00C400AB">
        <w:rPr>
          <w:rFonts w:ascii="Arial" w:hAnsi="Arial" w:cs="Arial"/>
          <w:sz w:val="22"/>
        </w:rPr>
        <w:t xml:space="preserve">will </w:t>
      </w:r>
      <w:r w:rsidRPr="00AC64E2">
        <w:rPr>
          <w:rFonts w:ascii="Arial" w:hAnsi="Arial" w:cs="Arial"/>
          <w:sz w:val="22"/>
        </w:rPr>
        <w:t xml:space="preserve">depend on the amount of discretionary iodised salt consumed in the diet. </w:t>
      </w:r>
    </w:p>
    <w:p w14:paraId="5D734AAD" w14:textId="77777777" w:rsidR="00AC64E2" w:rsidRPr="00AC64E2" w:rsidRDefault="00AC64E2" w:rsidP="00CC5193">
      <w:pPr>
        <w:rPr>
          <w:rFonts w:ascii="Arial" w:hAnsi="Arial" w:cs="Arial"/>
          <w:sz w:val="22"/>
        </w:rPr>
      </w:pPr>
      <w:r w:rsidRPr="00AC64E2">
        <w:rPr>
          <w:rFonts w:ascii="Arial" w:hAnsi="Arial" w:cs="Arial"/>
          <w:sz w:val="22"/>
        </w:rPr>
        <w:t xml:space="preserve">In considering whether the proportion of 2-3 year olds </w:t>
      </w:r>
      <w:r w:rsidR="009B4977">
        <w:rPr>
          <w:rFonts w:ascii="Arial" w:hAnsi="Arial" w:cs="Arial"/>
          <w:sz w:val="22"/>
        </w:rPr>
        <w:t>estimated to have iodine intake</w:t>
      </w:r>
      <w:r w:rsidR="00C400AB">
        <w:rPr>
          <w:rFonts w:ascii="Arial" w:hAnsi="Arial" w:cs="Arial"/>
          <w:sz w:val="22"/>
        </w:rPr>
        <w:t>s</w:t>
      </w:r>
      <w:r w:rsidRPr="00AC64E2">
        <w:rPr>
          <w:rFonts w:ascii="Arial" w:hAnsi="Arial" w:cs="Arial"/>
          <w:sz w:val="22"/>
        </w:rPr>
        <w:t xml:space="preserve"> above the UL are likely to have any adverse health problems related to their levels of intake, it is important to note that age-specific ULs are not absolute thresholds for toxicity of intake. They represent intake limits that </w:t>
      </w:r>
      <w:r w:rsidR="009B4977">
        <w:rPr>
          <w:rFonts w:ascii="Arial" w:hAnsi="Arial" w:cs="Arial"/>
          <w:sz w:val="22"/>
        </w:rPr>
        <w:t>we</w:t>
      </w:r>
      <w:r w:rsidRPr="00AC64E2">
        <w:rPr>
          <w:rFonts w:ascii="Arial" w:hAnsi="Arial" w:cs="Arial"/>
          <w:sz w:val="22"/>
        </w:rPr>
        <w:t>re derived based on findings in adults and extrapolated to children based on their relative metabolic body weights. Therefore</w:t>
      </w:r>
      <w:r w:rsidR="009B4977">
        <w:rPr>
          <w:rFonts w:ascii="Arial" w:hAnsi="Arial" w:cs="Arial"/>
          <w:sz w:val="22"/>
        </w:rPr>
        <w:t>,</w:t>
      </w:r>
      <w:r w:rsidRPr="00AC64E2">
        <w:rPr>
          <w:rFonts w:ascii="Arial" w:hAnsi="Arial" w:cs="Arial"/>
          <w:sz w:val="22"/>
        </w:rPr>
        <w:t xml:space="preserve"> exceeding the UL although not desirable does not automatically lead to an adverse health outcome. </w:t>
      </w:r>
    </w:p>
    <w:p w14:paraId="5D734AAE" w14:textId="77777777" w:rsidR="00C86BAF" w:rsidRDefault="009B4977" w:rsidP="00CC5193">
      <w:pPr>
        <w:rPr>
          <w:rFonts w:ascii="Arial" w:hAnsi="Arial" w:cs="Arial"/>
          <w:sz w:val="22"/>
        </w:rPr>
      </w:pPr>
      <w:r>
        <w:rPr>
          <w:rFonts w:ascii="Arial" w:hAnsi="Arial" w:cs="Arial"/>
          <w:sz w:val="22"/>
        </w:rPr>
        <w:t>A</w:t>
      </w:r>
      <w:r w:rsidR="00AC64E2" w:rsidRPr="00AC64E2">
        <w:rPr>
          <w:rFonts w:ascii="Arial" w:hAnsi="Arial" w:cs="Arial"/>
          <w:sz w:val="22"/>
        </w:rPr>
        <w:t xml:space="preserve"> study of children aged 1</w:t>
      </w:r>
      <w:r w:rsidR="00AC64E2" w:rsidRPr="00AC64E2">
        <w:rPr>
          <w:rFonts w:ascii="Arial" w:hAnsi="Arial" w:cs="Arial"/>
          <w:sz w:val="22"/>
          <w:vertAlign w:val="superscript"/>
        </w:rPr>
        <w:t xml:space="preserve">1/2 </w:t>
      </w:r>
      <w:r w:rsidR="00AC64E2" w:rsidRPr="00AC64E2">
        <w:rPr>
          <w:rFonts w:ascii="Arial" w:hAnsi="Arial" w:cs="Arial"/>
          <w:sz w:val="22"/>
        </w:rPr>
        <w:t>and 4</w:t>
      </w:r>
      <w:r w:rsidR="00AC64E2" w:rsidRPr="00AC64E2">
        <w:rPr>
          <w:rFonts w:ascii="Arial" w:hAnsi="Arial" w:cs="Arial"/>
          <w:sz w:val="22"/>
          <w:vertAlign w:val="superscript"/>
        </w:rPr>
        <w:t xml:space="preserve">1/2 </w:t>
      </w:r>
      <w:r w:rsidR="00AC64E2" w:rsidRPr="00AC64E2">
        <w:rPr>
          <w:rFonts w:ascii="Arial" w:hAnsi="Arial" w:cs="Arial"/>
          <w:sz w:val="22"/>
        </w:rPr>
        <w:t>years</w:t>
      </w:r>
      <w:r w:rsidR="00AC64E2" w:rsidRPr="00AC64E2">
        <w:rPr>
          <w:rFonts w:ascii="Arial" w:hAnsi="Arial" w:cs="Arial"/>
          <w:sz w:val="22"/>
          <w:vertAlign w:val="superscript"/>
        </w:rPr>
        <w:t xml:space="preserve"> </w:t>
      </w:r>
      <w:r w:rsidR="00CE6E6A">
        <w:rPr>
          <w:rFonts w:ascii="Arial" w:hAnsi="Arial" w:cs="Arial"/>
          <w:sz w:val="22"/>
        </w:rPr>
        <w:t>in the UK COT study (COT</w:t>
      </w:r>
      <w:r w:rsidR="00AC64E2" w:rsidRPr="00AC64E2">
        <w:rPr>
          <w:rFonts w:ascii="Arial" w:hAnsi="Arial" w:cs="Arial"/>
          <w:sz w:val="22"/>
        </w:rPr>
        <w:t xml:space="preserve"> 2000</w:t>
      </w:r>
      <w:r>
        <w:rPr>
          <w:rFonts w:ascii="Arial" w:hAnsi="Arial" w:cs="Arial"/>
          <w:sz w:val="22"/>
        </w:rPr>
        <w:t>) showed that children’s iodine intake could</w:t>
      </w:r>
      <w:r w:rsidR="00AC64E2" w:rsidRPr="00AC64E2">
        <w:rPr>
          <w:rFonts w:ascii="Arial" w:hAnsi="Arial" w:cs="Arial"/>
          <w:sz w:val="22"/>
        </w:rPr>
        <w:t xml:space="preserve"> vary from 87-307 µg/day with almost all </w:t>
      </w:r>
      <w:r w:rsidR="00AC64E2">
        <w:rPr>
          <w:rFonts w:ascii="Arial" w:hAnsi="Arial" w:cs="Arial"/>
          <w:sz w:val="22"/>
        </w:rPr>
        <w:t xml:space="preserve">the dietary </w:t>
      </w:r>
      <w:r w:rsidR="00AC64E2" w:rsidRPr="00AC64E2">
        <w:rPr>
          <w:rFonts w:ascii="Arial" w:hAnsi="Arial" w:cs="Arial"/>
          <w:sz w:val="22"/>
        </w:rPr>
        <w:t xml:space="preserve">iodine </w:t>
      </w:r>
      <w:r w:rsidR="00AC64E2">
        <w:rPr>
          <w:rFonts w:ascii="Arial" w:hAnsi="Arial" w:cs="Arial"/>
          <w:sz w:val="22"/>
        </w:rPr>
        <w:t>intake derived</w:t>
      </w:r>
      <w:r w:rsidR="00AC64E2" w:rsidRPr="00AC64E2">
        <w:rPr>
          <w:rFonts w:ascii="Arial" w:hAnsi="Arial" w:cs="Arial"/>
          <w:sz w:val="22"/>
        </w:rPr>
        <w:t xml:space="preserve"> from the consumption of milk. </w:t>
      </w:r>
      <w:r w:rsidR="00AC64E2">
        <w:rPr>
          <w:rFonts w:ascii="Arial" w:hAnsi="Arial" w:cs="Arial"/>
          <w:sz w:val="22"/>
        </w:rPr>
        <w:t xml:space="preserve">Dietary </w:t>
      </w:r>
      <w:r w:rsidR="00AC64E2" w:rsidRPr="00AC64E2">
        <w:rPr>
          <w:rFonts w:ascii="Arial" w:hAnsi="Arial" w:cs="Arial"/>
          <w:sz w:val="22"/>
        </w:rPr>
        <w:t xml:space="preserve">iodine intake </w:t>
      </w:r>
      <w:proofErr w:type="gramStart"/>
      <w:r w:rsidR="00AC64E2" w:rsidRPr="00AC64E2">
        <w:rPr>
          <w:rFonts w:ascii="Arial" w:hAnsi="Arial" w:cs="Arial"/>
          <w:sz w:val="22"/>
        </w:rPr>
        <w:t>of 307 µg/day</w:t>
      </w:r>
      <w:proofErr w:type="gramEnd"/>
      <w:r w:rsidR="00AC64E2" w:rsidRPr="00AC64E2">
        <w:rPr>
          <w:rFonts w:ascii="Arial" w:hAnsi="Arial" w:cs="Arial"/>
          <w:sz w:val="22"/>
        </w:rPr>
        <w:t xml:space="preserve"> </w:t>
      </w:r>
      <w:r w:rsidR="00370F87">
        <w:rPr>
          <w:rFonts w:ascii="Arial" w:hAnsi="Arial" w:cs="Arial"/>
          <w:sz w:val="22"/>
        </w:rPr>
        <w:t>was</w:t>
      </w:r>
      <w:r w:rsidR="00370F87" w:rsidRPr="00AC64E2">
        <w:rPr>
          <w:rFonts w:ascii="Arial" w:hAnsi="Arial" w:cs="Arial"/>
          <w:sz w:val="22"/>
        </w:rPr>
        <w:t xml:space="preserve"> </w:t>
      </w:r>
      <w:r w:rsidR="00AC64E2" w:rsidRPr="00AC64E2">
        <w:rPr>
          <w:rFonts w:ascii="Arial" w:hAnsi="Arial" w:cs="Arial"/>
          <w:sz w:val="22"/>
        </w:rPr>
        <w:t>almost 54% above the UL for 2-3 year olds. However, the Scientific Committee on Food on the Tolerable Upper Intake level of iodine noted that ‘</w:t>
      </w:r>
      <w:r w:rsidR="00AC64E2" w:rsidRPr="00AC64E2">
        <w:rPr>
          <w:rFonts w:ascii="Arial" w:hAnsi="Arial" w:cs="Arial"/>
          <w:i/>
          <w:sz w:val="22"/>
        </w:rPr>
        <w:t>an UL is not a threshold of toxicity but may be exceeded for short periods without an appreciable risk to the health of the individual concerned</w:t>
      </w:r>
      <w:r w:rsidR="00AC64E2" w:rsidRPr="00AC64E2">
        <w:rPr>
          <w:rFonts w:ascii="Arial" w:hAnsi="Arial" w:cs="Arial"/>
          <w:sz w:val="22"/>
        </w:rPr>
        <w:t xml:space="preserve">’. </w:t>
      </w:r>
      <w:r w:rsidR="003713BA" w:rsidRPr="001D3A88">
        <w:rPr>
          <w:rFonts w:ascii="Arial" w:hAnsi="Arial" w:cs="Arial"/>
          <w:sz w:val="22"/>
        </w:rPr>
        <w:t xml:space="preserve">Further, the iodine chapter of the </w:t>
      </w:r>
      <w:r w:rsidR="00CE6E6A">
        <w:rPr>
          <w:rFonts w:ascii="Arial" w:hAnsi="Arial" w:cs="Arial"/>
          <w:sz w:val="22"/>
        </w:rPr>
        <w:t xml:space="preserve">2004 </w:t>
      </w:r>
      <w:r w:rsidR="003713BA" w:rsidRPr="001D3A88">
        <w:rPr>
          <w:rFonts w:ascii="Arial" w:hAnsi="Arial" w:cs="Arial"/>
          <w:sz w:val="22"/>
        </w:rPr>
        <w:t>WHO</w:t>
      </w:r>
      <w:r w:rsidR="00CE6E6A">
        <w:rPr>
          <w:rFonts w:ascii="Arial" w:hAnsi="Arial" w:cs="Arial"/>
          <w:sz w:val="22"/>
        </w:rPr>
        <w:t>/FAO</w:t>
      </w:r>
      <w:r w:rsidR="003713BA" w:rsidRPr="001D3A88">
        <w:rPr>
          <w:rFonts w:ascii="Arial" w:hAnsi="Arial" w:cs="Arial"/>
          <w:sz w:val="22"/>
        </w:rPr>
        <w:t xml:space="preserve"> document on vitamin and mineral requirements in human nutrition recommends a 50 µg/kg/day upper limit of iodine intake for 2-3 year olds</w:t>
      </w:r>
      <w:r w:rsidR="00CE6E6A">
        <w:rPr>
          <w:rFonts w:ascii="Arial" w:hAnsi="Arial" w:cs="Arial"/>
          <w:sz w:val="22"/>
        </w:rPr>
        <w:t xml:space="preserve"> (WHO/FAO 2004)</w:t>
      </w:r>
      <w:r w:rsidR="003713BA" w:rsidRPr="001D3A88">
        <w:rPr>
          <w:rFonts w:ascii="Arial" w:hAnsi="Arial" w:cs="Arial"/>
          <w:sz w:val="22"/>
        </w:rPr>
        <w:t>. Based on the WHO</w:t>
      </w:r>
      <w:r w:rsidR="00F1742B">
        <w:rPr>
          <w:rFonts w:ascii="Arial" w:hAnsi="Arial" w:cs="Arial"/>
          <w:sz w:val="22"/>
        </w:rPr>
        <w:t>/FAO</w:t>
      </w:r>
      <w:r w:rsidR="003713BA" w:rsidRPr="001D3A88">
        <w:rPr>
          <w:rFonts w:ascii="Arial" w:hAnsi="Arial" w:cs="Arial"/>
          <w:sz w:val="22"/>
        </w:rPr>
        <w:t xml:space="preserve"> iodine intake upper limit, a toddler weighing 15.5kg (average body weight for 2 to 3 year olds from the Australian 2007 National Nutrition and Physical Activity Survey) could have an iodine intake as high </w:t>
      </w:r>
      <w:proofErr w:type="gramStart"/>
      <w:r w:rsidR="003713BA" w:rsidRPr="001D3A88">
        <w:rPr>
          <w:rFonts w:ascii="Arial" w:hAnsi="Arial" w:cs="Arial"/>
          <w:sz w:val="22"/>
        </w:rPr>
        <w:t>as 775 µg/day</w:t>
      </w:r>
      <w:proofErr w:type="gramEnd"/>
      <w:r w:rsidR="003713BA" w:rsidRPr="001D3A88">
        <w:rPr>
          <w:rFonts w:ascii="Arial" w:hAnsi="Arial" w:cs="Arial"/>
          <w:sz w:val="22"/>
        </w:rPr>
        <w:t xml:space="preserve"> before the UL is exceeded. The total dietary iodine intake of 2-3 year olds exceeding </w:t>
      </w:r>
      <w:r w:rsidR="003713BA" w:rsidRPr="001D3A88">
        <w:rPr>
          <w:rFonts w:ascii="Arial" w:hAnsi="Arial" w:cs="Arial"/>
          <w:sz w:val="22"/>
        </w:rPr>
        <w:lastRenderedPageBreak/>
        <w:t xml:space="preserve">the NHMRC UL after fortification was about 32% of the </w:t>
      </w:r>
      <w:r w:rsidR="00370F87">
        <w:rPr>
          <w:rFonts w:ascii="Arial" w:hAnsi="Arial" w:cs="Arial"/>
          <w:sz w:val="22"/>
        </w:rPr>
        <w:t xml:space="preserve">higher </w:t>
      </w:r>
      <w:r w:rsidR="003713BA" w:rsidRPr="001D3A88">
        <w:rPr>
          <w:rFonts w:ascii="Arial" w:hAnsi="Arial" w:cs="Arial"/>
          <w:sz w:val="22"/>
        </w:rPr>
        <w:t>WHO recomme</w:t>
      </w:r>
      <w:r w:rsidR="003713BA">
        <w:rPr>
          <w:rFonts w:ascii="Arial" w:hAnsi="Arial" w:cs="Arial"/>
          <w:sz w:val="22"/>
        </w:rPr>
        <w:t>nded UL by body weight.</w:t>
      </w:r>
    </w:p>
    <w:p w14:paraId="5D734AAF" w14:textId="05070C2B" w:rsidR="00F1742B" w:rsidRPr="00117E26" w:rsidRDefault="00C86BAF" w:rsidP="00F1742B">
      <w:pPr>
        <w:rPr>
          <w:rFonts w:ascii="Arial" w:hAnsi="Arial" w:cs="Arial"/>
          <w:sz w:val="22"/>
        </w:rPr>
      </w:pPr>
      <w:r w:rsidRPr="001D3A88">
        <w:rPr>
          <w:rFonts w:ascii="Arial" w:hAnsi="Arial" w:cs="Arial"/>
          <w:sz w:val="22"/>
        </w:rPr>
        <w:t xml:space="preserve">The iodine intake estimates </w:t>
      </w:r>
      <w:r w:rsidR="008268E7">
        <w:rPr>
          <w:rFonts w:ascii="Arial" w:hAnsi="Arial" w:cs="Arial"/>
          <w:sz w:val="22"/>
        </w:rPr>
        <w:t>indicate</w:t>
      </w:r>
      <w:r w:rsidRPr="001D3A88">
        <w:rPr>
          <w:rFonts w:ascii="Arial" w:hAnsi="Arial" w:cs="Arial"/>
          <w:sz w:val="22"/>
        </w:rPr>
        <w:t xml:space="preserve"> that </w:t>
      </w:r>
      <w:r w:rsidR="005C7D2A">
        <w:rPr>
          <w:rFonts w:ascii="Arial" w:hAnsi="Arial" w:cs="Arial"/>
          <w:sz w:val="22"/>
        </w:rPr>
        <w:t xml:space="preserve">for </w:t>
      </w:r>
      <w:r w:rsidR="001409A9">
        <w:rPr>
          <w:rFonts w:ascii="Arial" w:hAnsi="Arial" w:cs="Arial"/>
          <w:sz w:val="22"/>
        </w:rPr>
        <w:t>children</w:t>
      </w:r>
      <w:r w:rsidR="00416E99">
        <w:rPr>
          <w:rFonts w:ascii="Arial" w:hAnsi="Arial" w:cs="Arial"/>
          <w:sz w:val="22"/>
        </w:rPr>
        <w:t xml:space="preserve"> </w:t>
      </w:r>
      <w:r w:rsidRPr="001D3A88">
        <w:rPr>
          <w:rFonts w:ascii="Arial" w:hAnsi="Arial" w:cs="Arial"/>
          <w:sz w:val="22"/>
        </w:rPr>
        <w:t xml:space="preserve">the period of iodine intake that exceeds the UL is transient, and less than 1% of them have </w:t>
      </w:r>
      <w:r w:rsidR="008268E7">
        <w:rPr>
          <w:rFonts w:ascii="Arial" w:hAnsi="Arial" w:cs="Arial"/>
          <w:sz w:val="22"/>
        </w:rPr>
        <w:t xml:space="preserve">estimated </w:t>
      </w:r>
      <w:r w:rsidRPr="001D3A88">
        <w:rPr>
          <w:rFonts w:ascii="Arial" w:hAnsi="Arial" w:cs="Arial"/>
          <w:sz w:val="22"/>
        </w:rPr>
        <w:t>iodine intakes above the UL when they turn 4 years.</w:t>
      </w:r>
      <w:r>
        <w:rPr>
          <w:rFonts w:ascii="Arial" w:hAnsi="Arial" w:cs="Arial"/>
          <w:sz w:val="22"/>
        </w:rPr>
        <w:t xml:space="preserve"> </w:t>
      </w:r>
      <w:r w:rsidR="00F1742B" w:rsidRPr="00117E26">
        <w:rPr>
          <w:rFonts w:ascii="Arial" w:eastAsia="Calibri" w:hAnsi="Arial" w:cs="Arial"/>
          <w:sz w:val="22"/>
        </w:rPr>
        <w:t xml:space="preserve">Although it is generally undesirable to exceed the UL, there is evidence to indicate that young children are able to exceed their respective estimated ULs by 2-3 </w:t>
      </w:r>
      <w:r w:rsidR="00622A8C">
        <w:rPr>
          <w:rFonts w:ascii="Arial" w:eastAsia="Calibri" w:hAnsi="Arial" w:cs="Arial"/>
          <w:sz w:val="22"/>
        </w:rPr>
        <w:t>times</w:t>
      </w:r>
      <w:r w:rsidR="00F1742B" w:rsidRPr="00117E26">
        <w:rPr>
          <w:rFonts w:ascii="Arial" w:eastAsia="Calibri" w:hAnsi="Arial" w:cs="Arial"/>
          <w:sz w:val="22"/>
        </w:rPr>
        <w:t xml:space="preserve"> without apparent adverse consequences. This and the reversible nature of the endpoint</w:t>
      </w:r>
      <w:r w:rsidR="00622A8C">
        <w:rPr>
          <w:rFonts w:ascii="Arial" w:eastAsia="Calibri" w:hAnsi="Arial" w:cs="Arial"/>
          <w:sz w:val="22"/>
        </w:rPr>
        <w:t xml:space="preserve"> (sub-clinical hypothyroidism) </w:t>
      </w:r>
      <w:r w:rsidR="00F1742B" w:rsidRPr="00117E26">
        <w:rPr>
          <w:rFonts w:ascii="Arial" w:eastAsia="Calibri" w:hAnsi="Arial" w:cs="Arial"/>
          <w:sz w:val="22"/>
        </w:rPr>
        <w:t>means such intakes are unlikely to represent a health and safety risk to young children, though a reduced margin of safety exists</w:t>
      </w:r>
      <w:r w:rsidR="00F1742B">
        <w:rPr>
          <w:rFonts w:ascii="Arial" w:eastAsia="Calibri" w:hAnsi="Arial" w:cs="Arial"/>
          <w:sz w:val="22"/>
        </w:rPr>
        <w:t xml:space="preserve"> (FSANZ 2007; FSANZ 2008</w:t>
      </w:r>
      <w:r w:rsidR="00F1742B" w:rsidRPr="00117E26">
        <w:rPr>
          <w:rFonts w:ascii="Arial" w:eastAsia="Calibri" w:hAnsi="Arial" w:cs="Arial"/>
          <w:sz w:val="22"/>
        </w:rPr>
        <w:t>).</w:t>
      </w:r>
    </w:p>
    <w:p w14:paraId="5D734AB0" w14:textId="15E48AA9" w:rsidR="00AC64E2" w:rsidRDefault="00254E42" w:rsidP="00254E42">
      <w:pPr>
        <w:pStyle w:val="Caption"/>
      </w:pPr>
      <w:bookmarkStart w:id="35" w:name="_Toc430856503"/>
      <w:r>
        <w:t xml:space="preserve">Table </w:t>
      </w:r>
      <w:r w:rsidR="001E1660">
        <w:fldChar w:fldCharType="begin"/>
      </w:r>
      <w:r w:rsidR="001E1660">
        <w:instrText xml:space="preserve"> SEQ Table \* ARABIC </w:instrText>
      </w:r>
      <w:r w:rsidR="001E1660">
        <w:fldChar w:fldCharType="separate"/>
      </w:r>
      <w:r w:rsidR="00A41217">
        <w:rPr>
          <w:noProof/>
        </w:rPr>
        <w:t>7</w:t>
      </w:r>
      <w:r w:rsidR="001E1660">
        <w:rPr>
          <w:noProof/>
        </w:rPr>
        <w:fldChar w:fldCharType="end"/>
      </w:r>
      <w:r>
        <w:t>: Proportion of Austral</w:t>
      </w:r>
      <w:r w:rsidR="00531242">
        <w:t>ians with dietary iodine intake</w:t>
      </w:r>
      <w:r>
        <w:t xml:space="preserve"> above the UL</w:t>
      </w:r>
      <w:bookmarkEnd w:id="35"/>
      <w:r>
        <w:t xml:space="preserve"> </w:t>
      </w:r>
    </w:p>
    <w:p w14:paraId="0644A85D" w14:textId="77777777" w:rsidR="00254E42" w:rsidRPr="00254E42" w:rsidRDefault="00254E42" w:rsidP="00254E42">
      <w:pPr>
        <w:spacing w:after="0" w:line="240" w:lineRule="auto"/>
        <w:rPr>
          <w:lang w:val="en-AU" w:eastAsia="en-AU"/>
        </w:rPr>
      </w:pPr>
    </w:p>
    <w:tbl>
      <w:tblPr>
        <w:tblStyle w:val="TableGrid1"/>
        <w:tblW w:w="0" w:type="auto"/>
        <w:tblLook w:val="06A0" w:firstRow="1" w:lastRow="0" w:firstColumn="1" w:lastColumn="0" w:noHBand="1" w:noVBand="1"/>
        <w:tblCaption w:val="Table 7: Proportion of Australians with dietary iodine intake above the UL "/>
      </w:tblPr>
      <w:tblGrid>
        <w:gridCol w:w="1948"/>
        <w:gridCol w:w="1699"/>
        <w:gridCol w:w="1416"/>
        <w:gridCol w:w="1415"/>
        <w:gridCol w:w="1416"/>
        <w:gridCol w:w="1356"/>
      </w:tblGrid>
      <w:tr w:rsidR="00F3743F" w:rsidRPr="004C0C13" w14:paraId="5D734AB4" w14:textId="77777777" w:rsidTr="006059FC">
        <w:trPr>
          <w:trHeight w:val="19"/>
          <w:tblHeader/>
        </w:trPr>
        <w:tc>
          <w:tcPr>
            <w:tcW w:w="1948" w:type="dxa"/>
            <w:vMerge w:val="restart"/>
            <w:tcBorders>
              <w:left w:val="nil"/>
            </w:tcBorders>
          </w:tcPr>
          <w:p w14:paraId="5D734AB1" w14:textId="77777777" w:rsidR="00F3743F" w:rsidRPr="004C0C13" w:rsidRDefault="00F3743F" w:rsidP="00CC5193">
            <w:pPr>
              <w:rPr>
                <w:rFonts w:ascii="Arial" w:hAnsi="Arial" w:cs="Arial"/>
                <w:b/>
                <w:sz w:val="18"/>
                <w:szCs w:val="18"/>
              </w:rPr>
            </w:pPr>
            <w:r w:rsidRPr="004C0C13">
              <w:rPr>
                <w:rFonts w:ascii="Arial" w:hAnsi="Arial" w:cs="Arial"/>
                <w:b/>
                <w:sz w:val="18"/>
                <w:szCs w:val="18"/>
              </w:rPr>
              <w:t>Age group (</w:t>
            </w:r>
            <w:r w:rsidR="00CE7BD7" w:rsidRPr="004C0C13">
              <w:rPr>
                <w:rFonts w:ascii="Arial" w:hAnsi="Arial" w:cs="Arial"/>
                <w:b/>
                <w:sz w:val="18"/>
                <w:szCs w:val="18"/>
              </w:rPr>
              <w:t>both sexes</w:t>
            </w:r>
            <w:r w:rsidRPr="004C0C13">
              <w:rPr>
                <w:rFonts w:ascii="Arial" w:hAnsi="Arial" w:cs="Arial"/>
                <w:b/>
                <w:sz w:val="18"/>
                <w:szCs w:val="18"/>
              </w:rPr>
              <w:t>)</w:t>
            </w:r>
          </w:p>
        </w:tc>
        <w:tc>
          <w:tcPr>
            <w:tcW w:w="1699" w:type="dxa"/>
            <w:vMerge w:val="restart"/>
          </w:tcPr>
          <w:p w14:paraId="5D734AB2" w14:textId="77777777" w:rsidR="00F3743F" w:rsidRPr="004C0C13" w:rsidRDefault="00E53EC2" w:rsidP="00CC5193">
            <w:pPr>
              <w:rPr>
                <w:rFonts w:ascii="Arial" w:hAnsi="Arial" w:cs="Arial"/>
                <w:b/>
                <w:sz w:val="18"/>
                <w:szCs w:val="18"/>
              </w:rPr>
            </w:pPr>
            <w:r w:rsidRPr="004C0C13">
              <w:rPr>
                <w:rFonts w:ascii="Arial" w:hAnsi="Arial" w:cs="Arial"/>
                <w:b/>
                <w:sz w:val="18"/>
                <w:szCs w:val="18"/>
              </w:rPr>
              <w:t>UL</w:t>
            </w:r>
            <w:r w:rsidR="00F3743F" w:rsidRPr="004C0C13">
              <w:rPr>
                <w:rFonts w:ascii="Arial" w:hAnsi="Arial" w:cs="Arial"/>
                <w:b/>
                <w:sz w:val="18"/>
                <w:szCs w:val="18"/>
              </w:rPr>
              <w:t xml:space="preserve"> (</w:t>
            </w:r>
            <w:r w:rsidR="00C22861" w:rsidRPr="004C0C13">
              <w:rPr>
                <w:rFonts w:ascii="Arial" w:hAnsi="Arial" w:cs="Arial"/>
                <w:b/>
                <w:sz w:val="18"/>
                <w:szCs w:val="18"/>
              </w:rPr>
              <w:t>µg</w:t>
            </w:r>
            <w:r w:rsidR="00F3743F" w:rsidRPr="004C0C13">
              <w:rPr>
                <w:rFonts w:ascii="Arial" w:hAnsi="Arial" w:cs="Arial"/>
                <w:b/>
                <w:sz w:val="18"/>
                <w:szCs w:val="18"/>
              </w:rPr>
              <w:t>/day)</w:t>
            </w:r>
          </w:p>
        </w:tc>
        <w:tc>
          <w:tcPr>
            <w:tcW w:w="5603" w:type="dxa"/>
            <w:gridSpan w:val="4"/>
            <w:tcBorders>
              <w:right w:val="nil"/>
            </w:tcBorders>
          </w:tcPr>
          <w:p w14:paraId="5D734AB3" w14:textId="7FBB8795" w:rsidR="00F3743F" w:rsidRPr="004C0C13" w:rsidRDefault="00F3743F" w:rsidP="00CC5193">
            <w:pPr>
              <w:jc w:val="center"/>
              <w:rPr>
                <w:rFonts w:ascii="Arial" w:hAnsi="Arial" w:cs="Arial"/>
                <w:b/>
                <w:sz w:val="18"/>
                <w:szCs w:val="18"/>
              </w:rPr>
            </w:pPr>
            <w:r w:rsidRPr="004C0C13">
              <w:rPr>
                <w:rFonts w:ascii="Arial" w:hAnsi="Arial" w:cs="Arial"/>
                <w:b/>
                <w:sz w:val="18"/>
                <w:szCs w:val="18"/>
              </w:rPr>
              <w:t>Propor</w:t>
            </w:r>
            <w:r w:rsidR="00531242">
              <w:rPr>
                <w:rFonts w:ascii="Arial" w:hAnsi="Arial" w:cs="Arial"/>
                <w:b/>
                <w:sz w:val="18"/>
                <w:szCs w:val="18"/>
              </w:rPr>
              <w:t>tion with dietary iodine intake</w:t>
            </w:r>
            <w:r w:rsidRPr="004C0C13">
              <w:rPr>
                <w:rFonts w:ascii="Arial" w:hAnsi="Arial" w:cs="Arial"/>
                <w:b/>
                <w:sz w:val="18"/>
                <w:szCs w:val="18"/>
              </w:rPr>
              <w:t xml:space="preserve"> above the UL (%) </w:t>
            </w:r>
          </w:p>
        </w:tc>
      </w:tr>
      <w:tr w:rsidR="00F3743F" w:rsidRPr="004C0C13" w14:paraId="5D734AB9" w14:textId="77777777" w:rsidTr="006059FC">
        <w:trPr>
          <w:trHeight w:val="436"/>
          <w:tblHeader/>
        </w:trPr>
        <w:tc>
          <w:tcPr>
            <w:tcW w:w="1948" w:type="dxa"/>
            <w:vMerge/>
            <w:tcBorders>
              <w:left w:val="nil"/>
            </w:tcBorders>
          </w:tcPr>
          <w:p w14:paraId="5D734AB5" w14:textId="77777777" w:rsidR="00F3743F" w:rsidRPr="004C0C13" w:rsidRDefault="00F3743F" w:rsidP="00CC5193">
            <w:pPr>
              <w:rPr>
                <w:rFonts w:ascii="Arial" w:hAnsi="Arial" w:cs="Arial"/>
                <w:b/>
                <w:sz w:val="18"/>
                <w:szCs w:val="18"/>
              </w:rPr>
            </w:pPr>
          </w:p>
        </w:tc>
        <w:tc>
          <w:tcPr>
            <w:tcW w:w="1699" w:type="dxa"/>
            <w:vMerge/>
          </w:tcPr>
          <w:p w14:paraId="5D734AB6" w14:textId="77777777" w:rsidR="00F3743F" w:rsidRPr="004C0C13" w:rsidRDefault="00F3743F" w:rsidP="00CC5193">
            <w:pPr>
              <w:rPr>
                <w:rFonts w:ascii="Arial" w:hAnsi="Arial" w:cs="Arial"/>
                <w:b/>
                <w:sz w:val="18"/>
                <w:szCs w:val="18"/>
              </w:rPr>
            </w:pPr>
          </w:p>
        </w:tc>
        <w:tc>
          <w:tcPr>
            <w:tcW w:w="2831" w:type="dxa"/>
            <w:gridSpan w:val="2"/>
          </w:tcPr>
          <w:p w14:paraId="5D734AB7" w14:textId="77777777" w:rsidR="00F3743F" w:rsidRPr="004C0C13" w:rsidRDefault="00F3743F" w:rsidP="00CC5193">
            <w:pPr>
              <w:jc w:val="center"/>
              <w:rPr>
                <w:rFonts w:ascii="Arial" w:hAnsi="Arial" w:cs="Arial"/>
                <w:b/>
                <w:sz w:val="18"/>
                <w:szCs w:val="18"/>
              </w:rPr>
            </w:pPr>
            <w:r w:rsidRPr="004C0C13">
              <w:rPr>
                <w:rFonts w:ascii="Arial" w:hAnsi="Arial" w:cs="Arial"/>
                <w:b/>
                <w:sz w:val="18"/>
                <w:szCs w:val="18"/>
              </w:rPr>
              <w:t>Market weighted model</w:t>
            </w:r>
          </w:p>
        </w:tc>
        <w:tc>
          <w:tcPr>
            <w:tcW w:w="2771" w:type="dxa"/>
            <w:gridSpan w:val="2"/>
            <w:tcBorders>
              <w:right w:val="nil"/>
            </w:tcBorders>
          </w:tcPr>
          <w:p w14:paraId="5D734AB8" w14:textId="77777777" w:rsidR="00F3743F" w:rsidRPr="004C0C13" w:rsidRDefault="00F3743F" w:rsidP="00CC5193">
            <w:pPr>
              <w:jc w:val="center"/>
              <w:rPr>
                <w:rFonts w:ascii="Arial" w:hAnsi="Arial" w:cs="Arial"/>
                <w:b/>
                <w:sz w:val="18"/>
                <w:szCs w:val="18"/>
              </w:rPr>
            </w:pPr>
            <w:r w:rsidRPr="004C0C13">
              <w:rPr>
                <w:rFonts w:ascii="Arial" w:hAnsi="Arial" w:cs="Arial"/>
                <w:b/>
                <w:sz w:val="18"/>
                <w:szCs w:val="18"/>
              </w:rPr>
              <w:t>Consumer behaviour model</w:t>
            </w:r>
          </w:p>
        </w:tc>
      </w:tr>
      <w:tr w:rsidR="00F3743F" w:rsidRPr="004C0C13" w14:paraId="5D734AC0" w14:textId="77777777" w:rsidTr="006059FC">
        <w:trPr>
          <w:trHeight w:val="19"/>
          <w:tblHeader/>
        </w:trPr>
        <w:tc>
          <w:tcPr>
            <w:tcW w:w="1948" w:type="dxa"/>
            <w:vMerge/>
            <w:tcBorders>
              <w:left w:val="nil"/>
              <w:bottom w:val="single" w:sz="4" w:space="0" w:color="auto"/>
            </w:tcBorders>
          </w:tcPr>
          <w:p w14:paraId="5D734ABA" w14:textId="77777777" w:rsidR="00F3743F" w:rsidRPr="004C0C13" w:rsidRDefault="00F3743F" w:rsidP="00CC5193">
            <w:pPr>
              <w:rPr>
                <w:rFonts w:ascii="Arial" w:hAnsi="Arial" w:cs="Arial"/>
                <w:sz w:val="18"/>
                <w:szCs w:val="18"/>
              </w:rPr>
            </w:pPr>
          </w:p>
        </w:tc>
        <w:tc>
          <w:tcPr>
            <w:tcW w:w="1699" w:type="dxa"/>
            <w:vMerge/>
            <w:tcBorders>
              <w:bottom w:val="single" w:sz="4" w:space="0" w:color="auto"/>
            </w:tcBorders>
          </w:tcPr>
          <w:p w14:paraId="5D734ABB" w14:textId="77777777" w:rsidR="00F3743F" w:rsidRPr="004C0C13" w:rsidRDefault="00F3743F" w:rsidP="00CC5193">
            <w:pPr>
              <w:rPr>
                <w:rFonts w:ascii="Arial" w:hAnsi="Arial" w:cs="Arial"/>
                <w:sz w:val="18"/>
                <w:szCs w:val="18"/>
              </w:rPr>
            </w:pPr>
          </w:p>
        </w:tc>
        <w:tc>
          <w:tcPr>
            <w:tcW w:w="1416" w:type="dxa"/>
            <w:tcBorders>
              <w:bottom w:val="single" w:sz="4" w:space="0" w:color="auto"/>
            </w:tcBorders>
          </w:tcPr>
          <w:p w14:paraId="5D734ABC" w14:textId="77777777" w:rsidR="00F3743F" w:rsidRPr="004C0C13" w:rsidRDefault="00F3743F" w:rsidP="00E51250">
            <w:pPr>
              <w:jc w:val="center"/>
              <w:rPr>
                <w:rFonts w:ascii="Arial" w:hAnsi="Arial" w:cs="Arial"/>
                <w:b/>
                <w:sz w:val="18"/>
                <w:szCs w:val="18"/>
              </w:rPr>
            </w:pPr>
            <w:r w:rsidRPr="004C0C13">
              <w:rPr>
                <w:rFonts w:ascii="Arial" w:hAnsi="Arial" w:cs="Arial"/>
                <w:b/>
                <w:sz w:val="18"/>
                <w:szCs w:val="18"/>
              </w:rPr>
              <w:t>Pre-fortification</w:t>
            </w:r>
          </w:p>
        </w:tc>
        <w:tc>
          <w:tcPr>
            <w:tcW w:w="1415" w:type="dxa"/>
            <w:tcBorders>
              <w:bottom w:val="single" w:sz="4" w:space="0" w:color="auto"/>
            </w:tcBorders>
          </w:tcPr>
          <w:p w14:paraId="5D734ABD" w14:textId="77777777" w:rsidR="00F3743F" w:rsidRPr="004C0C13" w:rsidRDefault="00F3743F" w:rsidP="00E51250">
            <w:pPr>
              <w:jc w:val="center"/>
              <w:rPr>
                <w:rFonts w:ascii="Arial" w:hAnsi="Arial" w:cs="Arial"/>
                <w:b/>
                <w:sz w:val="18"/>
                <w:szCs w:val="18"/>
              </w:rPr>
            </w:pPr>
            <w:r w:rsidRPr="004C0C13">
              <w:rPr>
                <w:rFonts w:ascii="Arial" w:hAnsi="Arial" w:cs="Arial"/>
                <w:b/>
                <w:sz w:val="18"/>
                <w:szCs w:val="18"/>
              </w:rPr>
              <w:t>Post-fortification</w:t>
            </w:r>
          </w:p>
        </w:tc>
        <w:tc>
          <w:tcPr>
            <w:tcW w:w="1416" w:type="dxa"/>
            <w:tcBorders>
              <w:bottom w:val="single" w:sz="4" w:space="0" w:color="auto"/>
            </w:tcBorders>
          </w:tcPr>
          <w:p w14:paraId="5D734ABE" w14:textId="77777777" w:rsidR="00F3743F" w:rsidRPr="004C0C13" w:rsidRDefault="00F3743F" w:rsidP="00E51250">
            <w:pPr>
              <w:jc w:val="center"/>
              <w:rPr>
                <w:rFonts w:ascii="Arial" w:hAnsi="Arial" w:cs="Arial"/>
                <w:b/>
                <w:sz w:val="18"/>
                <w:szCs w:val="18"/>
              </w:rPr>
            </w:pPr>
            <w:r w:rsidRPr="004C0C13">
              <w:rPr>
                <w:rFonts w:ascii="Arial" w:hAnsi="Arial" w:cs="Arial"/>
                <w:b/>
                <w:sz w:val="18"/>
                <w:szCs w:val="18"/>
              </w:rPr>
              <w:t>Pre-fortification</w:t>
            </w:r>
          </w:p>
        </w:tc>
        <w:tc>
          <w:tcPr>
            <w:tcW w:w="1355" w:type="dxa"/>
            <w:tcBorders>
              <w:bottom w:val="single" w:sz="4" w:space="0" w:color="auto"/>
              <w:right w:val="nil"/>
            </w:tcBorders>
          </w:tcPr>
          <w:p w14:paraId="5D734ABF" w14:textId="77777777" w:rsidR="00F3743F" w:rsidRPr="004C0C13" w:rsidRDefault="00F3743F" w:rsidP="00E51250">
            <w:pPr>
              <w:jc w:val="center"/>
              <w:rPr>
                <w:rFonts w:ascii="Arial" w:hAnsi="Arial" w:cs="Arial"/>
                <w:b/>
                <w:sz w:val="18"/>
                <w:szCs w:val="18"/>
              </w:rPr>
            </w:pPr>
            <w:r w:rsidRPr="004C0C13">
              <w:rPr>
                <w:rFonts w:ascii="Arial" w:hAnsi="Arial" w:cs="Arial"/>
                <w:b/>
                <w:sz w:val="18"/>
                <w:szCs w:val="18"/>
              </w:rPr>
              <w:t>Post-fortification</w:t>
            </w:r>
          </w:p>
        </w:tc>
      </w:tr>
      <w:tr w:rsidR="00CE7BD7" w:rsidRPr="004C0C13" w14:paraId="5D734AC7" w14:textId="77777777" w:rsidTr="004C0C13">
        <w:trPr>
          <w:trHeight w:val="19"/>
        </w:trPr>
        <w:tc>
          <w:tcPr>
            <w:tcW w:w="1948" w:type="dxa"/>
            <w:tcBorders>
              <w:top w:val="single" w:sz="4" w:space="0" w:color="auto"/>
              <w:left w:val="nil"/>
              <w:bottom w:val="nil"/>
              <w:right w:val="nil"/>
            </w:tcBorders>
          </w:tcPr>
          <w:p w14:paraId="5D734AC1" w14:textId="77777777" w:rsidR="00CE7BD7" w:rsidRPr="004C0C13" w:rsidRDefault="00CE7BD7" w:rsidP="00CC5193">
            <w:pPr>
              <w:rPr>
                <w:rFonts w:ascii="Arial" w:hAnsi="Arial" w:cs="Arial"/>
                <w:b/>
                <w:sz w:val="18"/>
                <w:szCs w:val="18"/>
              </w:rPr>
            </w:pPr>
            <w:r w:rsidRPr="004C0C13">
              <w:rPr>
                <w:rFonts w:ascii="Arial" w:hAnsi="Arial" w:cs="Arial"/>
                <w:b/>
                <w:sz w:val="18"/>
                <w:szCs w:val="18"/>
              </w:rPr>
              <w:t xml:space="preserve">2-3 years </w:t>
            </w:r>
            <w:r w:rsidRPr="004C0C13">
              <w:rPr>
                <w:rFonts w:ascii="Arial" w:hAnsi="Arial" w:cs="Arial"/>
                <w:b/>
                <w:sz w:val="18"/>
                <w:szCs w:val="18"/>
                <w:vertAlign w:val="superscript"/>
              </w:rPr>
              <w:t>#</w:t>
            </w:r>
          </w:p>
        </w:tc>
        <w:tc>
          <w:tcPr>
            <w:tcW w:w="1699" w:type="dxa"/>
            <w:tcBorders>
              <w:top w:val="single" w:sz="4" w:space="0" w:color="auto"/>
              <w:left w:val="nil"/>
              <w:bottom w:val="nil"/>
              <w:right w:val="nil"/>
            </w:tcBorders>
          </w:tcPr>
          <w:p w14:paraId="5D734AC2"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200</w:t>
            </w:r>
          </w:p>
        </w:tc>
        <w:tc>
          <w:tcPr>
            <w:tcW w:w="1416" w:type="dxa"/>
            <w:tcBorders>
              <w:top w:val="single" w:sz="4" w:space="0" w:color="auto"/>
              <w:left w:val="nil"/>
              <w:bottom w:val="nil"/>
              <w:right w:val="nil"/>
            </w:tcBorders>
          </w:tcPr>
          <w:p w14:paraId="5D734AC3"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7</w:t>
            </w:r>
          </w:p>
        </w:tc>
        <w:tc>
          <w:tcPr>
            <w:tcW w:w="1415" w:type="dxa"/>
            <w:tcBorders>
              <w:top w:val="single" w:sz="4" w:space="0" w:color="auto"/>
              <w:left w:val="nil"/>
              <w:bottom w:val="nil"/>
              <w:right w:val="nil"/>
            </w:tcBorders>
          </w:tcPr>
          <w:p w14:paraId="5D734AC4"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20</w:t>
            </w:r>
          </w:p>
        </w:tc>
        <w:tc>
          <w:tcPr>
            <w:tcW w:w="1416" w:type="dxa"/>
            <w:tcBorders>
              <w:top w:val="single" w:sz="4" w:space="0" w:color="auto"/>
              <w:left w:val="nil"/>
              <w:bottom w:val="nil"/>
              <w:right w:val="nil"/>
            </w:tcBorders>
          </w:tcPr>
          <w:p w14:paraId="5D734AC5"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4</w:t>
            </w:r>
          </w:p>
        </w:tc>
        <w:tc>
          <w:tcPr>
            <w:tcW w:w="1355" w:type="dxa"/>
            <w:tcBorders>
              <w:top w:val="single" w:sz="4" w:space="0" w:color="auto"/>
              <w:left w:val="nil"/>
              <w:bottom w:val="nil"/>
              <w:right w:val="nil"/>
            </w:tcBorders>
          </w:tcPr>
          <w:p w14:paraId="5D734AC6"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15</w:t>
            </w:r>
          </w:p>
        </w:tc>
      </w:tr>
      <w:tr w:rsidR="00CE7BD7" w:rsidRPr="004C0C13" w14:paraId="5D734ACE" w14:textId="77777777" w:rsidTr="004C0C13">
        <w:trPr>
          <w:trHeight w:val="19"/>
        </w:trPr>
        <w:tc>
          <w:tcPr>
            <w:tcW w:w="1948" w:type="dxa"/>
            <w:tcBorders>
              <w:top w:val="nil"/>
              <w:left w:val="nil"/>
              <w:bottom w:val="nil"/>
              <w:right w:val="nil"/>
            </w:tcBorders>
          </w:tcPr>
          <w:p w14:paraId="5D734AC8" w14:textId="77777777" w:rsidR="00CE7BD7" w:rsidRPr="004C0C13" w:rsidRDefault="00CE7BD7" w:rsidP="00CC5193">
            <w:pPr>
              <w:rPr>
                <w:rFonts w:ascii="Arial" w:hAnsi="Arial" w:cs="Arial"/>
                <w:b/>
                <w:sz w:val="18"/>
                <w:szCs w:val="18"/>
              </w:rPr>
            </w:pPr>
            <w:r w:rsidRPr="004C0C13">
              <w:rPr>
                <w:rFonts w:ascii="Arial" w:hAnsi="Arial" w:cs="Arial"/>
                <w:b/>
                <w:sz w:val="18"/>
                <w:szCs w:val="18"/>
              </w:rPr>
              <w:t xml:space="preserve">4-8 years </w:t>
            </w:r>
            <w:r w:rsidRPr="004C0C13">
              <w:rPr>
                <w:rFonts w:ascii="Arial" w:hAnsi="Arial" w:cs="Arial"/>
                <w:b/>
                <w:sz w:val="18"/>
                <w:szCs w:val="18"/>
                <w:vertAlign w:val="superscript"/>
              </w:rPr>
              <w:t>#</w:t>
            </w:r>
          </w:p>
        </w:tc>
        <w:tc>
          <w:tcPr>
            <w:tcW w:w="1699" w:type="dxa"/>
            <w:tcBorders>
              <w:top w:val="nil"/>
              <w:left w:val="nil"/>
              <w:bottom w:val="nil"/>
              <w:right w:val="nil"/>
            </w:tcBorders>
          </w:tcPr>
          <w:p w14:paraId="5D734AC9"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300</w:t>
            </w:r>
          </w:p>
        </w:tc>
        <w:tc>
          <w:tcPr>
            <w:tcW w:w="1416" w:type="dxa"/>
            <w:tcBorders>
              <w:top w:val="nil"/>
              <w:left w:val="nil"/>
              <w:bottom w:val="nil"/>
              <w:right w:val="nil"/>
            </w:tcBorders>
          </w:tcPr>
          <w:p w14:paraId="5D734ACA"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CB"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&lt;1</w:t>
            </w:r>
          </w:p>
        </w:tc>
        <w:tc>
          <w:tcPr>
            <w:tcW w:w="1416" w:type="dxa"/>
            <w:tcBorders>
              <w:top w:val="nil"/>
              <w:left w:val="nil"/>
              <w:bottom w:val="nil"/>
              <w:right w:val="nil"/>
            </w:tcBorders>
          </w:tcPr>
          <w:p w14:paraId="5D734ACC"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CD"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&lt;1</w:t>
            </w:r>
          </w:p>
        </w:tc>
      </w:tr>
      <w:tr w:rsidR="00CE7BD7" w:rsidRPr="004C0C13" w14:paraId="5D734AD5" w14:textId="77777777" w:rsidTr="004C0C13">
        <w:trPr>
          <w:trHeight w:val="19"/>
        </w:trPr>
        <w:tc>
          <w:tcPr>
            <w:tcW w:w="1948" w:type="dxa"/>
            <w:tcBorders>
              <w:top w:val="nil"/>
              <w:left w:val="nil"/>
              <w:bottom w:val="nil"/>
              <w:right w:val="nil"/>
            </w:tcBorders>
          </w:tcPr>
          <w:p w14:paraId="5D734ACF" w14:textId="77777777" w:rsidR="00CE7BD7" w:rsidRPr="004C0C13" w:rsidRDefault="00CE7BD7" w:rsidP="00CC5193">
            <w:pPr>
              <w:rPr>
                <w:rFonts w:ascii="Arial" w:hAnsi="Arial" w:cs="Arial"/>
                <w:b/>
                <w:sz w:val="18"/>
                <w:szCs w:val="18"/>
              </w:rPr>
            </w:pPr>
            <w:r w:rsidRPr="004C0C13">
              <w:rPr>
                <w:rFonts w:ascii="Arial" w:hAnsi="Arial" w:cs="Arial"/>
                <w:b/>
                <w:sz w:val="18"/>
                <w:szCs w:val="18"/>
              </w:rPr>
              <w:t xml:space="preserve">9-13 years </w:t>
            </w:r>
            <w:r w:rsidRPr="004C0C13">
              <w:rPr>
                <w:rFonts w:ascii="Arial" w:hAnsi="Arial" w:cs="Arial"/>
                <w:b/>
                <w:sz w:val="18"/>
                <w:szCs w:val="18"/>
                <w:vertAlign w:val="superscript"/>
              </w:rPr>
              <w:t>#</w:t>
            </w:r>
          </w:p>
        </w:tc>
        <w:tc>
          <w:tcPr>
            <w:tcW w:w="1699" w:type="dxa"/>
            <w:tcBorders>
              <w:top w:val="nil"/>
              <w:left w:val="nil"/>
              <w:bottom w:val="nil"/>
              <w:right w:val="nil"/>
            </w:tcBorders>
          </w:tcPr>
          <w:p w14:paraId="5D734AD0"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600</w:t>
            </w:r>
          </w:p>
        </w:tc>
        <w:tc>
          <w:tcPr>
            <w:tcW w:w="1416" w:type="dxa"/>
            <w:tcBorders>
              <w:top w:val="nil"/>
              <w:left w:val="nil"/>
              <w:bottom w:val="nil"/>
              <w:right w:val="nil"/>
            </w:tcBorders>
          </w:tcPr>
          <w:p w14:paraId="5D734AD1"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D2"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D3"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D4"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ADC" w14:textId="77777777" w:rsidTr="004C0C13">
        <w:trPr>
          <w:trHeight w:val="19"/>
        </w:trPr>
        <w:tc>
          <w:tcPr>
            <w:tcW w:w="1948" w:type="dxa"/>
            <w:tcBorders>
              <w:top w:val="nil"/>
              <w:left w:val="nil"/>
              <w:bottom w:val="nil"/>
              <w:right w:val="nil"/>
            </w:tcBorders>
          </w:tcPr>
          <w:p w14:paraId="5D734AD6" w14:textId="77777777" w:rsidR="00CE7BD7" w:rsidRPr="004C0C13" w:rsidRDefault="00CE7BD7" w:rsidP="00CC5193">
            <w:pPr>
              <w:rPr>
                <w:rFonts w:ascii="Arial" w:hAnsi="Arial" w:cs="Arial"/>
                <w:b/>
                <w:sz w:val="18"/>
                <w:szCs w:val="18"/>
              </w:rPr>
            </w:pPr>
            <w:r w:rsidRPr="004C0C13">
              <w:rPr>
                <w:rFonts w:ascii="Arial" w:hAnsi="Arial" w:cs="Arial"/>
                <w:b/>
                <w:sz w:val="18"/>
                <w:szCs w:val="18"/>
              </w:rPr>
              <w:t xml:space="preserve">14-16 years </w:t>
            </w:r>
            <w:r w:rsidRPr="004C0C13">
              <w:rPr>
                <w:rFonts w:ascii="Arial" w:hAnsi="Arial" w:cs="Arial"/>
                <w:b/>
                <w:sz w:val="18"/>
                <w:szCs w:val="18"/>
                <w:vertAlign w:val="superscript"/>
              </w:rPr>
              <w:t>#</w:t>
            </w:r>
          </w:p>
        </w:tc>
        <w:tc>
          <w:tcPr>
            <w:tcW w:w="1699" w:type="dxa"/>
            <w:tcBorders>
              <w:top w:val="nil"/>
              <w:left w:val="nil"/>
              <w:bottom w:val="nil"/>
              <w:right w:val="nil"/>
            </w:tcBorders>
          </w:tcPr>
          <w:p w14:paraId="5D734AD7"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900</w:t>
            </w:r>
          </w:p>
        </w:tc>
        <w:tc>
          <w:tcPr>
            <w:tcW w:w="1416" w:type="dxa"/>
            <w:tcBorders>
              <w:top w:val="nil"/>
              <w:left w:val="nil"/>
              <w:bottom w:val="nil"/>
              <w:right w:val="nil"/>
            </w:tcBorders>
          </w:tcPr>
          <w:p w14:paraId="5D734AD8"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D9"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DA"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DB"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AE3" w14:textId="77777777" w:rsidTr="004C0C13">
        <w:trPr>
          <w:trHeight w:val="19"/>
        </w:trPr>
        <w:tc>
          <w:tcPr>
            <w:tcW w:w="1948" w:type="dxa"/>
            <w:tcBorders>
              <w:top w:val="nil"/>
              <w:left w:val="nil"/>
              <w:bottom w:val="nil"/>
              <w:right w:val="nil"/>
            </w:tcBorders>
          </w:tcPr>
          <w:p w14:paraId="5D734ADD" w14:textId="77777777" w:rsidR="00CE7BD7" w:rsidRPr="004C0C13" w:rsidRDefault="00CE7BD7" w:rsidP="00CC5193">
            <w:pPr>
              <w:rPr>
                <w:rFonts w:ascii="Arial" w:hAnsi="Arial" w:cs="Arial"/>
                <w:b/>
                <w:sz w:val="18"/>
                <w:szCs w:val="18"/>
              </w:rPr>
            </w:pPr>
            <w:r w:rsidRPr="004C0C13">
              <w:rPr>
                <w:rFonts w:ascii="Arial" w:hAnsi="Arial" w:cs="Arial"/>
                <w:b/>
                <w:sz w:val="18"/>
                <w:szCs w:val="18"/>
              </w:rPr>
              <w:t xml:space="preserve">2-16 years </w:t>
            </w:r>
            <w:r w:rsidRPr="004C0C13">
              <w:rPr>
                <w:rFonts w:ascii="Arial" w:hAnsi="Arial" w:cs="Arial"/>
                <w:b/>
                <w:sz w:val="18"/>
                <w:szCs w:val="18"/>
                <w:vertAlign w:val="superscript"/>
              </w:rPr>
              <w:t>#</w:t>
            </w:r>
          </w:p>
        </w:tc>
        <w:tc>
          <w:tcPr>
            <w:tcW w:w="1699" w:type="dxa"/>
            <w:tcBorders>
              <w:top w:val="nil"/>
              <w:left w:val="nil"/>
              <w:bottom w:val="nil"/>
              <w:right w:val="nil"/>
            </w:tcBorders>
          </w:tcPr>
          <w:p w14:paraId="5D734ADE" w14:textId="77777777" w:rsidR="00CE7BD7" w:rsidRPr="004C0C13" w:rsidRDefault="00941229" w:rsidP="00CC5193">
            <w:pPr>
              <w:rPr>
                <w:rFonts w:ascii="Arial" w:hAnsi="Arial" w:cs="Arial"/>
                <w:color w:val="000000"/>
                <w:sz w:val="18"/>
                <w:szCs w:val="18"/>
              </w:rPr>
            </w:pPr>
            <w:r w:rsidRPr="004C0C13">
              <w:rPr>
                <w:rFonts w:ascii="Arial" w:hAnsi="Arial" w:cs="Arial"/>
                <w:color w:val="000000"/>
                <w:sz w:val="18"/>
                <w:szCs w:val="18"/>
              </w:rPr>
              <w:t xml:space="preserve">No value </w:t>
            </w:r>
            <w:r w:rsidR="00CE7BD7" w:rsidRPr="004C0C13">
              <w:rPr>
                <w:rFonts w:ascii="Arial" w:hAnsi="Arial" w:cs="Arial"/>
                <w:color w:val="000000"/>
                <w:sz w:val="18"/>
                <w:szCs w:val="18"/>
              </w:rPr>
              <w:t>assigned</w:t>
            </w:r>
          </w:p>
        </w:tc>
        <w:tc>
          <w:tcPr>
            <w:tcW w:w="1416" w:type="dxa"/>
            <w:tcBorders>
              <w:top w:val="nil"/>
              <w:left w:val="nil"/>
              <w:bottom w:val="nil"/>
              <w:right w:val="nil"/>
            </w:tcBorders>
          </w:tcPr>
          <w:p w14:paraId="5D734ADF"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&lt;1</w:t>
            </w:r>
          </w:p>
        </w:tc>
        <w:tc>
          <w:tcPr>
            <w:tcW w:w="1415" w:type="dxa"/>
            <w:tcBorders>
              <w:top w:val="nil"/>
              <w:left w:val="nil"/>
              <w:bottom w:val="nil"/>
              <w:right w:val="nil"/>
            </w:tcBorders>
          </w:tcPr>
          <w:p w14:paraId="5D734AE0"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3</w:t>
            </w:r>
          </w:p>
        </w:tc>
        <w:tc>
          <w:tcPr>
            <w:tcW w:w="1416" w:type="dxa"/>
            <w:tcBorders>
              <w:top w:val="nil"/>
              <w:left w:val="nil"/>
              <w:bottom w:val="nil"/>
              <w:right w:val="nil"/>
            </w:tcBorders>
          </w:tcPr>
          <w:p w14:paraId="5D734AE1"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&lt;1</w:t>
            </w:r>
          </w:p>
        </w:tc>
        <w:tc>
          <w:tcPr>
            <w:tcW w:w="1355" w:type="dxa"/>
            <w:tcBorders>
              <w:top w:val="nil"/>
              <w:left w:val="nil"/>
              <w:bottom w:val="nil"/>
              <w:right w:val="nil"/>
            </w:tcBorders>
          </w:tcPr>
          <w:p w14:paraId="5D734AE2"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2</w:t>
            </w:r>
          </w:p>
        </w:tc>
      </w:tr>
      <w:tr w:rsidR="00CE7BD7" w:rsidRPr="004C0C13" w14:paraId="5D734AEA" w14:textId="77777777" w:rsidTr="004C0C13">
        <w:trPr>
          <w:trHeight w:val="19"/>
        </w:trPr>
        <w:tc>
          <w:tcPr>
            <w:tcW w:w="1948" w:type="dxa"/>
            <w:tcBorders>
              <w:top w:val="nil"/>
              <w:left w:val="nil"/>
              <w:bottom w:val="nil"/>
              <w:right w:val="nil"/>
            </w:tcBorders>
          </w:tcPr>
          <w:p w14:paraId="5D734AE4" w14:textId="77777777" w:rsidR="00CE7BD7" w:rsidRPr="004C0C13" w:rsidRDefault="00CE7BD7" w:rsidP="00CC5193">
            <w:pPr>
              <w:rPr>
                <w:rFonts w:ascii="Arial" w:hAnsi="Arial" w:cs="Arial"/>
                <w:b/>
                <w:sz w:val="18"/>
                <w:szCs w:val="18"/>
              </w:rPr>
            </w:pPr>
            <w:r w:rsidRPr="004C0C13">
              <w:rPr>
                <w:rFonts w:ascii="Arial" w:hAnsi="Arial" w:cs="Arial"/>
                <w:b/>
                <w:sz w:val="18"/>
                <w:szCs w:val="18"/>
              </w:rPr>
              <w:t>17-18 years*</w:t>
            </w:r>
          </w:p>
        </w:tc>
        <w:tc>
          <w:tcPr>
            <w:tcW w:w="1699" w:type="dxa"/>
            <w:tcBorders>
              <w:top w:val="nil"/>
              <w:left w:val="nil"/>
              <w:bottom w:val="nil"/>
              <w:right w:val="nil"/>
            </w:tcBorders>
          </w:tcPr>
          <w:p w14:paraId="5D734AE5"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900</w:t>
            </w:r>
          </w:p>
        </w:tc>
        <w:tc>
          <w:tcPr>
            <w:tcW w:w="1416" w:type="dxa"/>
            <w:tcBorders>
              <w:top w:val="nil"/>
              <w:left w:val="nil"/>
              <w:bottom w:val="nil"/>
              <w:right w:val="nil"/>
            </w:tcBorders>
          </w:tcPr>
          <w:p w14:paraId="5D734AE6"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E7"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E8"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E9"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AF1" w14:textId="77777777" w:rsidTr="004C0C13">
        <w:trPr>
          <w:trHeight w:val="19"/>
        </w:trPr>
        <w:tc>
          <w:tcPr>
            <w:tcW w:w="1948" w:type="dxa"/>
            <w:tcBorders>
              <w:top w:val="nil"/>
              <w:left w:val="nil"/>
              <w:bottom w:val="nil"/>
              <w:right w:val="nil"/>
            </w:tcBorders>
          </w:tcPr>
          <w:p w14:paraId="5D734AEB" w14:textId="77777777" w:rsidR="00CE7BD7" w:rsidRPr="004C0C13" w:rsidRDefault="00CE7BD7" w:rsidP="00CC5193">
            <w:pPr>
              <w:rPr>
                <w:rFonts w:ascii="Arial" w:hAnsi="Arial" w:cs="Arial"/>
                <w:b/>
                <w:sz w:val="18"/>
                <w:szCs w:val="18"/>
              </w:rPr>
            </w:pPr>
            <w:r w:rsidRPr="004C0C13">
              <w:rPr>
                <w:rFonts w:ascii="Arial" w:hAnsi="Arial" w:cs="Arial"/>
                <w:b/>
                <w:sz w:val="18"/>
                <w:szCs w:val="18"/>
              </w:rPr>
              <w:t>19-29 years*</w:t>
            </w:r>
          </w:p>
        </w:tc>
        <w:tc>
          <w:tcPr>
            <w:tcW w:w="1699" w:type="dxa"/>
            <w:tcBorders>
              <w:top w:val="nil"/>
              <w:left w:val="nil"/>
              <w:bottom w:val="nil"/>
              <w:right w:val="nil"/>
            </w:tcBorders>
          </w:tcPr>
          <w:p w14:paraId="5D734AEC"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1,100</w:t>
            </w:r>
          </w:p>
        </w:tc>
        <w:tc>
          <w:tcPr>
            <w:tcW w:w="1416" w:type="dxa"/>
            <w:tcBorders>
              <w:top w:val="nil"/>
              <w:left w:val="nil"/>
              <w:bottom w:val="nil"/>
              <w:right w:val="nil"/>
            </w:tcBorders>
          </w:tcPr>
          <w:p w14:paraId="5D734AED"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EE"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EF"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F0"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AF8" w14:textId="77777777" w:rsidTr="004C0C13">
        <w:trPr>
          <w:trHeight w:val="19"/>
        </w:trPr>
        <w:tc>
          <w:tcPr>
            <w:tcW w:w="1948" w:type="dxa"/>
            <w:tcBorders>
              <w:top w:val="nil"/>
              <w:left w:val="nil"/>
              <w:bottom w:val="nil"/>
              <w:right w:val="nil"/>
            </w:tcBorders>
          </w:tcPr>
          <w:p w14:paraId="5D734AF2" w14:textId="77777777" w:rsidR="00CE7BD7" w:rsidRPr="004C0C13" w:rsidRDefault="00CE7BD7" w:rsidP="00CC5193">
            <w:pPr>
              <w:rPr>
                <w:rFonts w:ascii="Arial" w:hAnsi="Arial" w:cs="Arial"/>
                <w:b/>
                <w:sz w:val="18"/>
                <w:szCs w:val="18"/>
              </w:rPr>
            </w:pPr>
            <w:r w:rsidRPr="004C0C13">
              <w:rPr>
                <w:rFonts w:ascii="Arial" w:hAnsi="Arial" w:cs="Arial"/>
                <w:b/>
                <w:sz w:val="18"/>
                <w:szCs w:val="18"/>
              </w:rPr>
              <w:t>30-49 years*</w:t>
            </w:r>
          </w:p>
        </w:tc>
        <w:tc>
          <w:tcPr>
            <w:tcW w:w="1699" w:type="dxa"/>
            <w:tcBorders>
              <w:top w:val="nil"/>
              <w:left w:val="nil"/>
              <w:bottom w:val="nil"/>
              <w:right w:val="nil"/>
            </w:tcBorders>
          </w:tcPr>
          <w:p w14:paraId="5D734AF3"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1,100</w:t>
            </w:r>
          </w:p>
        </w:tc>
        <w:tc>
          <w:tcPr>
            <w:tcW w:w="1416" w:type="dxa"/>
            <w:tcBorders>
              <w:top w:val="nil"/>
              <w:left w:val="nil"/>
              <w:bottom w:val="nil"/>
              <w:right w:val="nil"/>
            </w:tcBorders>
          </w:tcPr>
          <w:p w14:paraId="5D734AF4"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F5"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F6"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F7"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AFF" w14:textId="77777777" w:rsidTr="004C0C13">
        <w:trPr>
          <w:trHeight w:val="19"/>
        </w:trPr>
        <w:tc>
          <w:tcPr>
            <w:tcW w:w="1948" w:type="dxa"/>
            <w:tcBorders>
              <w:top w:val="nil"/>
              <w:left w:val="nil"/>
              <w:bottom w:val="nil"/>
              <w:right w:val="nil"/>
            </w:tcBorders>
          </w:tcPr>
          <w:p w14:paraId="5D734AF9" w14:textId="77777777" w:rsidR="00CE7BD7" w:rsidRPr="004C0C13" w:rsidRDefault="00CE7BD7" w:rsidP="00CC5193">
            <w:pPr>
              <w:rPr>
                <w:rFonts w:ascii="Arial" w:hAnsi="Arial" w:cs="Arial"/>
                <w:b/>
                <w:sz w:val="18"/>
                <w:szCs w:val="18"/>
              </w:rPr>
            </w:pPr>
            <w:r w:rsidRPr="004C0C13">
              <w:rPr>
                <w:rFonts w:ascii="Arial" w:hAnsi="Arial" w:cs="Arial"/>
                <w:b/>
                <w:sz w:val="18"/>
                <w:szCs w:val="18"/>
              </w:rPr>
              <w:t>50-69 years*</w:t>
            </w:r>
          </w:p>
        </w:tc>
        <w:tc>
          <w:tcPr>
            <w:tcW w:w="1699" w:type="dxa"/>
            <w:tcBorders>
              <w:top w:val="nil"/>
              <w:left w:val="nil"/>
              <w:bottom w:val="nil"/>
              <w:right w:val="nil"/>
            </w:tcBorders>
          </w:tcPr>
          <w:p w14:paraId="5D734AFA"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1,100</w:t>
            </w:r>
          </w:p>
        </w:tc>
        <w:tc>
          <w:tcPr>
            <w:tcW w:w="1416" w:type="dxa"/>
            <w:tcBorders>
              <w:top w:val="nil"/>
              <w:left w:val="nil"/>
              <w:bottom w:val="nil"/>
              <w:right w:val="nil"/>
            </w:tcBorders>
          </w:tcPr>
          <w:p w14:paraId="5D734AFB"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nil"/>
              <w:right w:val="nil"/>
            </w:tcBorders>
          </w:tcPr>
          <w:p w14:paraId="5D734AFC"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nil"/>
              <w:right w:val="nil"/>
            </w:tcBorders>
          </w:tcPr>
          <w:p w14:paraId="5D734AFD"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nil"/>
              <w:right w:val="nil"/>
            </w:tcBorders>
          </w:tcPr>
          <w:p w14:paraId="5D734AFE"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B06" w14:textId="77777777" w:rsidTr="004C0C13">
        <w:trPr>
          <w:trHeight w:val="432"/>
        </w:trPr>
        <w:tc>
          <w:tcPr>
            <w:tcW w:w="1948" w:type="dxa"/>
            <w:tcBorders>
              <w:top w:val="nil"/>
              <w:left w:val="nil"/>
              <w:bottom w:val="single" w:sz="4" w:space="0" w:color="auto"/>
              <w:right w:val="nil"/>
            </w:tcBorders>
          </w:tcPr>
          <w:p w14:paraId="5D734B00" w14:textId="77777777" w:rsidR="00CE7BD7" w:rsidRPr="004C0C13" w:rsidRDefault="00CE7BD7" w:rsidP="00CC5193">
            <w:pPr>
              <w:rPr>
                <w:rFonts w:ascii="Arial" w:hAnsi="Arial" w:cs="Arial"/>
                <w:b/>
                <w:sz w:val="18"/>
                <w:szCs w:val="18"/>
              </w:rPr>
            </w:pPr>
            <w:r w:rsidRPr="004C0C13">
              <w:rPr>
                <w:rFonts w:ascii="Arial" w:hAnsi="Arial" w:cs="Arial"/>
                <w:b/>
                <w:sz w:val="18"/>
                <w:szCs w:val="18"/>
              </w:rPr>
              <w:t>70 years and above*</w:t>
            </w:r>
          </w:p>
        </w:tc>
        <w:tc>
          <w:tcPr>
            <w:tcW w:w="1699" w:type="dxa"/>
            <w:tcBorders>
              <w:top w:val="nil"/>
              <w:left w:val="nil"/>
              <w:bottom w:val="single" w:sz="4" w:space="0" w:color="auto"/>
              <w:right w:val="nil"/>
            </w:tcBorders>
          </w:tcPr>
          <w:p w14:paraId="5D734B01"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1,100</w:t>
            </w:r>
          </w:p>
        </w:tc>
        <w:tc>
          <w:tcPr>
            <w:tcW w:w="1416" w:type="dxa"/>
            <w:tcBorders>
              <w:top w:val="nil"/>
              <w:left w:val="nil"/>
              <w:bottom w:val="single" w:sz="4" w:space="0" w:color="auto"/>
              <w:right w:val="nil"/>
            </w:tcBorders>
          </w:tcPr>
          <w:p w14:paraId="5D734B02"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single" w:sz="4" w:space="0" w:color="auto"/>
              <w:right w:val="nil"/>
            </w:tcBorders>
          </w:tcPr>
          <w:p w14:paraId="5D734B03"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single" w:sz="4" w:space="0" w:color="auto"/>
              <w:right w:val="nil"/>
            </w:tcBorders>
          </w:tcPr>
          <w:p w14:paraId="5D734B04"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single" w:sz="4" w:space="0" w:color="auto"/>
              <w:right w:val="nil"/>
            </w:tcBorders>
          </w:tcPr>
          <w:p w14:paraId="5D734B05"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B0D" w14:textId="77777777" w:rsidTr="004C0C13">
        <w:trPr>
          <w:trHeight w:val="19"/>
        </w:trPr>
        <w:tc>
          <w:tcPr>
            <w:tcW w:w="1948" w:type="dxa"/>
            <w:tcBorders>
              <w:top w:val="single" w:sz="4" w:space="0" w:color="auto"/>
              <w:left w:val="nil"/>
              <w:bottom w:val="nil"/>
              <w:right w:val="nil"/>
            </w:tcBorders>
          </w:tcPr>
          <w:p w14:paraId="5D734B07" w14:textId="77777777" w:rsidR="00CE7BD7" w:rsidRPr="004C0C13" w:rsidRDefault="00CE7BD7" w:rsidP="00CC5193">
            <w:pPr>
              <w:rPr>
                <w:rFonts w:ascii="Arial" w:hAnsi="Arial" w:cs="Arial"/>
                <w:b/>
                <w:sz w:val="18"/>
                <w:szCs w:val="18"/>
              </w:rPr>
            </w:pPr>
            <w:r w:rsidRPr="004C0C13">
              <w:rPr>
                <w:rFonts w:ascii="Arial" w:hAnsi="Arial" w:cs="Arial"/>
                <w:b/>
                <w:sz w:val="18"/>
                <w:szCs w:val="18"/>
              </w:rPr>
              <w:t>17 years and above*</w:t>
            </w:r>
          </w:p>
        </w:tc>
        <w:tc>
          <w:tcPr>
            <w:tcW w:w="1699" w:type="dxa"/>
            <w:tcBorders>
              <w:top w:val="single" w:sz="4" w:space="0" w:color="auto"/>
              <w:left w:val="nil"/>
              <w:bottom w:val="nil"/>
              <w:right w:val="nil"/>
            </w:tcBorders>
          </w:tcPr>
          <w:p w14:paraId="5D734B08" w14:textId="77777777" w:rsidR="00CE7BD7" w:rsidRPr="004C0C13" w:rsidRDefault="00CE7BD7" w:rsidP="00CC5193">
            <w:pPr>
              <w:rPr>
                <w:rFonts w:ascii="Arial" w:hAnsi="Arial" w:cs="Arial"/>
                <w:color w:val="000000"/>
                <w:sz w:val="18"/>
                <w:szCs w:val="18"/>
              </w:rPr>
            </w:pPr>
            <w:r w:rsidRPr="004C0C13">
              <w:rPr>
                <w:rFonts w:ascii="Arial" w:hAnsi="Arial" w:cs="Arial"/>
                <w:color w:val="000000"/>
                <w:sz w:val="18"/>
                <w:szCs w:val="18"/>
              </w:rPr>
              <w:t xml:space="preserve">No value assigned </w:t>
            </w:r>
          </w:p>
        </w:tc>
        <w:tc>
          <w:tcPr>
            <w:tcW w:w="1416" w:type="dxa"/>
            <w:tcBorders>
              <w:top w:val="single" w:sz="4" w:space="0" w:color="auto"/>
              <w:left w:val="nil"/>
              <w:bottom w:val="nil"/>
              <w:right w:val="nil"/>
            </w:tcBorders>
          </w:tcPr>
          <w:p w14:paraId="5D734B09"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single" w:sz="4" w:space="0" w:color="auto"/>
              <w:left w:val="nil"/>
              <w:bottom w:val="nil"/>
              <w:right w:val="nil"/>
            </w:tcBorders>
          </w:tcPr>
          <w:p w14:paraId="5D734B0A"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single" w:sz="4" w:space="0" w:color="auto"/>
              <w:left w:val="nil"/>
              <w:bottom w:val="nil"/>
              <w:right w:val="nil"/>
            </w:tcBorders>
          </w:tcPr>
          <w:p w14:paraId="5D734B0B"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single" w:sz="4" w:space="0" w:color="auto"/>
              <w:left w:val="nil"/>
              <w:bottom w:val="nil"/>
              <w:right w:val="nil"/>
            </w:tcBorders>
          </w:tcPr>
          <w:p w14:paraId="5D734B0C"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r w:rsidR="00CE7BD7" w:rsidRPr="004C0C13" w14:paraId="5D734B14" w14:textId="77777777" w:rsidTr="004C0C13">
        <w:trPr>
          <w:trHeight w:val="19"/>
        </w:trPr>
        <w:tc>
          <w:tcPr>
            <w:tcW w:w="1948" w:type="dxa"/>
            <w:tcBorders>
              <w:top w:val="nil"/>
              <w:left w:val="nil"/>
              <w:bottom w:val="single" w:sz="4" w:space="0" w:color="auto"/>
              <w:right w:val="nil"/>
            </w:tcBorders>
          </w:tcPr>
          <w:p w14:paraId="5D734B0E" w14:textId="77777777" w:rsidR="00CE7BD7" w:rsidRPr="004C0C13" w:rsidRDefault="00CE7BD7" w:rsidP="00CC5193">
            <w:pPr>
              <w:rPr>
                <w:rFonts w:ascii="Arial" w:hAnsi="Arial" w:cs="Arial"/>
                <w:b/>
                <w:sz w:val="18"/>
                <w:szCs w:val="18"/>
              </w:rPr>
            </w:pPr>
            <w:r w:rsidRPr="004C0C13">
              <w:rPr>
                <w:rFonts w:ascii="Arial" w:hAnsi="Arial" w:cs="Arial"/>
                <w:b/>
                <w:sz w:val="18"/>
                <w:szCs w:val="18"/>
              </w:rPr>
              <w:t>16-44 years (Females)*</w:t>
            </w:r>
          </w:p>
        </w:tc>
        <w:tc>
          <w:tcPr>
            <w:tcW w:w="1699" w:type="dxa"/>
            <w:tcBorders>
              <w:top w:val="nil"/>
              <w:left w:val="nil"/>
              <w:bottom w:val="single" w:sz="4" w:space="0" w:color="auto"/>
              <w:right w:val="nil"/>
            </w:tcBorders>
          </w:tcPr>
          <w:p w14:paraId="5D734B0F" w14:textId="77777777" w:rsidR="00CE7BD7" w:rsidRPr="004C0C13" w:rsidRDefault="00CE7BD7" w:rsidP="00CC5193">
            <w:pPr>
              <w:rPr>
                <w:rFonts w:ascii="Arial" w:hAnsi="Arial" w:cs="Arial"/>
                <w:color w:val="000000"/>
                <w:sz w:val="18"/>
                <w:szCs w:val="18"/>
              </w:rPr>
            </w:pPr>
            <w:r w:rsidRPr="004C0C13">
              <w:rPr>
                <w:rFonts w:ascii="Arial" w:hAnsi="Arial" w:cs="Arial"/>
                <w:color w:val="000000"/>
                <w:sz w:val="18"/>
                <w:szCs w:val="18"/>
              </w:rPr>
              <w:t>Ranges from 900-1,100</w:t>
            </w:r>
          </w:p>
        </w:tc>
        <w:tc>
          <w:tcPr>
            <w:tcW w:w="1416" w:type="dxa"/>
            <w:tcBorders>
              <w:top w:val="nil"/>
              <w:left w:val="nil"/>
              <w:bottom w:val="single" w:sz="4" w:space="0" w:color="auto"/>
              <w:right w:val="nil"/>
            </w:tcBorders>
          </w:tcPr>
          <w:p w14:paraId="5D734B10"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5" w:type="dxa"/>
            <w:tcBorders>
              <w:top w:val="nil"/>
              <w:left w:val="nil"/>
              <w:bottom w:val="single" w:sz="4" w:space="0" w:color="auto"/>
              <w:right w:val="nil"/>
            </w:tcBorders>
          </w:tcPr>
          <w:p w14:paraId="5D734B11"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416" w:type="dxa"/>
            <w:tcBorders>
              <w:top w:val="nil"/>
              <w:left w:val="nil"/>
              <w:bottom w:val="single" w:sz="4" w:space="0" w:color="auto"/>
              <w:right w:val="nil"/>
            </w:tcBorders>
          </w:tcPr>
          <w:p w14:paraId="5D734B12"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c>
          <w:tcPr>
            <w:tcW w:w="1355" w:type="dxa"/>
            <w:tcBorders>
              <w:top w:val="nil"/>
              <w:left w:val="nil"/>
              <w:bottom w:val="single" w:sz="4" w:space="0" w:color="auto"/>
              <w:right w:val="nil"/>
            </w:tcBorders>
          </w:tcPr>
          <w:p w14:paraId="5D734B13" w14:textId="77777777" w:rsidR="00CE7BD7" w:rsidRPr="004C0C13" w:rsidRDefault="00CE7BD7" w:rsidP="00CC5193">
            <w:pPr>
              <w:jc w:val="right"/>
              <w:rPr>
                <w:rFonts w:ascii="Arial" w:hAnsi="Arial" w:cs="Arial"/>
                <w:color w:val="000000"/>
                <w:sz w:val="18"/>
                <w:szCs w:val="18"/>
              </w:rPr>
            </w:pPr>
            <w:r w:rsidRPr="004C0C13">
              <w:rPr>
                <w:rFonts w:ascii="Arial" w:hAnsi="Arial" w:cs="Arial"/>
                <w:color w:val="000000"/>
                <w:sz w:val="18"/>
                <w:szCs w:val="18"/>
              </w:rPr>
              <w:t>0</w:t>
            </w:r>
          </w:p>
        </w:tc>
      </w:tr>
    </w:tbl>
    <w:p w14:paraId="5D734B15" w14:textId="77777777" w:rsidR="00CE7BD7" w:rsidRPr="004C0C13" w:rsidRDefault="00CE7BD7" w:rsidP="00704AA9">
      <w:pPr>
        <w:spacing w:after="0"/>
        <w:rPr>
          <w:rFonts w:ascii="Arial" w:hAnsi="Arial" w:cs="Arial"/>
          <w:sz w:val="18"/>
          <w:szCs w:val="18"/>
          <w:lang w:val="en-AU" w:eastAsia="en-AU"/>
        </w:rPr>
      </w:pPr>
      <w:r w:rsidRPr="004C0C13">
        <w:rPr>
          <w:rFonts w:ascii="Arial" w:hAnsi="Arial" w:cs="Arial"/>
          <w:sz w:val="18"/>
          <w:szCs w:val="18"/>
          <w:lang w:val="en-AU" w:eastAsia="en-AU"/>
        </w:rPr>
        <w:t>#Estimates for age group derived using the 2007 ANCNPAS (includes quantified salt consumption).</w:t>
      </w:r>
    </w:p>
    <w:p w14:paraId="5D734B16" w14:textId="77777777" w:rsidR="00CE7BD7" w:rsidRDefault="00CE7BD7" w:rsidP="00CC5193">
      <w:pPr>
        <w:rPr>
          <w:rFonts w:ascii="Arial" w:hAnsi="Arial" w:cs="Arial"/>
          <w:sz w:val="18"/>
          <w:szCs w:val="18"/>
          <w:lang w:val="en-AU" w:eastAsia="en-AU"/>
        </w:rPr>
      </w:pPr>
      <w:r w:rsidRPr="00D30256">
        <w:rPr>
          <w:rFonts w:ascii="Arial" w:hAnsi="Arial" w:cs="Arial"/>
          <w:sz w:val="18"/>
          <w:szCs w:val="18"/>
          <w:lang w:val="en-AU" w:eastAsia="en-AU"/>
        </w:rPr>
        <w:t>*Estimates for age group derived using the 1995</w:t>
      </w:r>
      <w:r>
        <w:rPr>
          <w:rFonts w:ascii="Arial" w:hAnsi="Arial" w:cs="Arial"/>
          <w:sz w:val="18"/>
          <w:szCs w:val="18"/>
          <w:lang w:val="en-AU" w:eastAsia="en-AU"/>
        </w:rPr>
        <w:t xml:space="preserve"> </w:t>
      </w:r>
      <w:r w:rsidRPr="00D30256">
        <w:rPr>
          <w:rFonts w:ascii="Arial" w:hAnsi="Arial" w:cs="Arial"/>
          <w:sz w:val="18"/>
          <w:szCs w:val="18"/>
          <w:lang w:val="en-AU" w:eastAsia="en-AU"/>
        </w:rPr>
        <w:t>National Nutrition Survey</w:t>
      </w:r>
      <w:r>
        <w:rPr>
          <w:rFonts w:ascii="Arial" w:hAnsi="Arial" w:cs="Arial"/>
          <w:sz w:val="18"/>
          <w:szCs w:val="18"/>
          <w:lang w:val="en-AU" w:eastAsia="en-AU"/>
        </w:rPr>
        <w:t>.</w:t>
      </w:r>
    </w:p>
    <w:p w14:paraId="5D734B17" w14:textId="77777777" w:rsidR="005D5C71" w:rsidRDefault="005D5C71" w:rsidP="00CC5193">
      <w:pPr>
        <w:rPr>
          <w:rFonts w:ascii="Arial" w:hAnsi="Arial" w:cs="Arial"/>
          <w:sz w:val="22"/>
        </w:rPr>
      </w:pPr>
    </w:p>
    <w:p w14:paraId="5D734B18" w14:textId="77777777" w:rsidR="000D4CF6" w:rsidRPr="00EF198C" w:rsidRDefault="00C26E81" w:rsidP="00192456">
      <w:pPr>
        <w:pStyle w:val="Heading1"/>
        <w:spacing w:after="200"/>
        <w:ind w:left="1134" w:hanging="1134"/>
        <w:rPr>
          <w:rFonts w:ascii="Arial" w:hAnsi="Arial" w:cs="Arial"/>
          <w:sz w:val="24"/>
          <w:szCs w:val="24"/>
        </w:rPr>
      </w:pPr>
      <w:bookmarkStart w:id="36" w:name="_Toc430854515"/>
      <w:r w:rsidRPr="00EF198C">
        <w:rPr>
          <w:rFonts w:ascii="Arial" w:hAnsi="Arial" w:cs="Arial"/>
          <w:sz w:val="24"/>
          <w:szCs w:val="24"/>
        </w:rPr>
        <w:lastRenderedPageBreak/>
        <w:t>7.0</w:t>
      </w:r>
      <w:r w:rsidRPr="00EF198C">
        <w:rPr>
          <w:rFonts w:ascii="Arial" w:hAnsi="Arial" w:cs="Arial"/>
          <w:sz w:val="24"/>
          <w:szCs w:val="24"/>
        </w:rPr>
        <w:tab/>
      </w:r>
      <w:r w:rsidR="005E3AB6" w:rsidRPr="00EF198C">
        <w:rPr>
          <w:rFonts w:ascii="Arial" w:hAnsi="Arial" w:cs="Arial"/>
          <w:sz w:val="24"/>
          <w:szCs w:val="24"/>
        </w:rPr>
        <w:tab/>
      </w:r>
      <w:r w:rsidRPr="00EF198C">
        <w:rPr>
          <w:rFonts w:ascii="Arial" w:hAnsi="Arial" w:cs="Arial"/>
          <w:sz w:val="24"/>
          <w:szCs w:val="24"/>
        </w:rPr>
        <w:t>Major food contributors to estimated dietary iodine intake of Australians</w:t>
      </w:r>
      <w:bookmarkEnd w:id="36"/>
    </w:p>
    <w:p w14:paraId="5D734B19" w14:textId="77777777" w:rsidR="00D41618" w:rsidRDefault="00845ADB" w:rsidP="00CC5193">
      <w:pPr>
        <w:keepNext/>
        <w:keepLines/>
        <w:tabs>
          <w:tab w:val="clear" w:pos="567"/>
        </w:tabs>
        <w:rPr>
          <w:rFonts w:ascii="Arial" w:hAnsi="Arial" w:cs="Arial"/>
          <w:sz w:val="22"/>
        </w:rPr>
      </w:pPr>
      <w:r>
        <w:rPr>
          <w:rFonts w:ascii="Arial" w:hAnsi="Arial" w:cs="Arial"/>
          <w:sz w:val="22"/>
        </w:rPr>
        <w:t>This section describes the</w:t>
      </w:r>
      <w:r w:rsidR="00D41618">
        <w:rPr>
          <w:rFonts w:ascii="Arial" w:hAnsi="Arial" w:cs="Arial"/>
          <w:sz w:val="22"/>
        </w:rPr>
        <w:t xml:space="preserve"> amount of iodine each food group contributed to the total mean daily iodine intake of each individual</w:t>
      </w:r>
      <w:r w:rsidR="00AE305B">
        <w:rPr>
          <w:rFonts w:ascii="Arial" w:hAnsi="Arial" w:cs="Arial"/>
          <w:sz w:val="22"/>
        </w:rPr>
        <w:t>,</w:t>
      </w:r>
      <w:r w:rsidR="00D41618">
        <w:rPr>
          <w:rFonts w:ascii="Arial" w:hAnsi="Arial" w:cs="Arial"/>
          <w:sz w:val="22"/>
        </w:rPr>
        <w:t xml:space="preserve"> with major contributors identified for Australians (target group and other sub-groups of the </w:t>
      </w:r>
      <w:r w:rsidR="00AE305B">
        <w:rPr>
          <w:rFonts w:ascii="Arial" w:hAnsi="Arial" w:cs="Arial"/>
          <w:sz w:val="22"/>
        </w:rPr>
        <w:t xml:space="preserve">population) both before and after iodine fortification of bread. A major food contributor to iodine intake is a food group that contributes </w:t>
      </w:r>
      <w:r w:rsidR="00340465">
        <w:rPr>
          <w:rFonts w:ascii="Arial" w:hAnsi="Arial" w:cs="Arial"/>
          <w:sz w:val="22"/>
        </w:rPr>
        <w:t xml:space="preserve">5% or </w:t>
      </w:r>
      <w:r w:rsidR="00AE305B">
        <w:rPr>
          <w:rFonts w:ascii="Arial" w:hAnsi="Arial" w:cs="Arial"/>
          <w:sz w:val="22"/>
        </w:rPr>
        <w:t>more than to the total dietary iodine intake estimate.</w:t>
      </w:r>
    </w:p>
    <w:p w14:paraId="5D734B1A" w14:textId="77777777" w:rsidR="00523CC5" w:rsidRPr="00C26E81" w:rsidRDefault="00523CC5" w:rsidP="00D43F2C">
      <w:pPr>
        <w:pStyle w:val="Heading2"/>
      </w:pPr>
      <w:bookmarkStart w:id="37" w:name="_Toc430854516"/>
      <w:r>
        <w:t>7.1</w:t>
      </w:r>
      <w:r>
        <w:tab/>
        <w:t>Food contributors to children’s dietary iodine intake</w:t>
      </w:r>
      <w:bookmarkEnd w:id="37"/>
    </w:p>
    <w:p w14:paraId="5D734B1B" w14:textId="77777777" w:rsidR="00523CC5" w:rsidRDefault="00523CC5" w:rsidP="00CC5193">
      <w:pPr>
        <w:rPr>
          <w:rFonts w:ascii="Arial" w:hAnsi="Arial" w:cs="Arial"/>
          <w:color w:val="000000"/>
          <w:sz w:val="22"/>
        </w:rPr>
      </w:pPr>
      <w:r>
        <w:rPr>
          <w:rFonts w:ascii="Arial" w:hAnsi="Arial" w:cs="Arial"/>
          <w:sz w:val="22"/>
        </w:rPr>
        <w:t>T</w:t>
      </w:r>
      <w:r w:rsidRPr="00523CC5">
        <w:rPr>
          <w:rFonts w:ascii="Arial" w:hAnsi="Arial" w:cs="Arial"/>
          <w:sz w:val="22"/>
        </w:rPr>
        <w:t>he major food contributors</w:t>
      </w:r>
      <w:r>
        <w:rPr>
          <w:rFonts w:ascii="Arial" w:hAnsi="Arial" w:cs="Arial"/>
          <w:sz w:val="22"/>
        </w:rPr>
        <w:t xml:space="preserve"> </w:t>
      </w:r>
      <w:r w:rsidRPr="00523CC5">
        <w:rPr>
          <w:rFonts w:ascii="Arial" w:hAnsi="Arial" w:cs="Arial"/>
          <w:sz w:val="22"/>
        </w:rPr>
        <w:t xml:space="preserve">to the dietary iodine intake of children </w:t>
      </w:r>
      <w:r>
        <w:rPr>
          <w:rFonts w:ascii="Arial" w:hAnsi="Arial" w:cs="Arial"/>
          <w:sz w:val="22"/>
        </w:rPr>
        <w:t xml:space="preserve">aged </w:t>
      </w:r>
      <w:r w:rsidRPr="00523CC5">
        <w:rPr>
          <w:rFonts w:ascii="Arial" w:hAnsi="Arial" w:cs="Arial"/>
          <w:sz w:val="22"/>
        </w:rPr>
        <w:t xml:space="preserve">2-3 years and </w:t>
      </w:r>
      <w:r w:rsidR="00C804D6">
        <w:rPr>
          <w:rFonts w:ascii="Arial" w:hAnsi="Arial" w:cs="Arial"/>
          <w:sz w:val="22"/>
        </w:rPr>
        <w:t>2-</w:t>
      </w:r>
      <w:r w:rsidRPr="00523CC5">
        <w:rPr>
          <w:rFonts w:ascii="Arial" w:hAnsi="Arial" w:cs="Arial"/>
          <w:sz w:val="22"/>
        </w:rPr>
        <w:t>16 years</w:t>
      </w:r>
      <w:r>
        <w:rPr>
          <w:rFonts w:ascii="Arial" w:hAnsi="Arial" w:cs="Arial"/>
          <w:sz w:val="22"/>
        </w:rPr>
        <w:t>,</w:t>
      </w:r>
      <w:r w:rsidRPr="00523CC5">
        <w:rPr>
          <w:rFonts w:ascii="Arial" w:hAnsi="Arial" w:cs="Arial"/>
          <w:sz w:val="22"/>
        </w:rPr>
        <w:t xml:space="preserve"> </w:t>
      </w:r>
      <w:r>
        <w:rPr>
          <w:rFonts w:ascii="Arial" w:hAnsi="Arial" w:cs="Arial"/>
          <w:sz w:val="22"/>
        </w:rPr>
        <w:t>including</w:t>
      </w:r>
      <w:r w:rsidRPr="00523CC5">
        <w:rPr>
          <w:rFonts w:ascii="Arial" w:hAnsi="Arial" w:cs="Arial"/>
          <w:sz w:val="22"/>
        </w:rPr>
        <w:t xml:space="preserve"> the proportion they contribute</w:t>
      </w:r>
      <w:r w:rsidR="00E11803">
        <w:rPr>
          <w:rFonts w:ascii="Arial" w:hAnsi="Arial" w:cs="Arial"/>
          <w:sz w:val="22"/>
        </w:rPr>
        <w:t>d</w:t>
      </w:r>
      <w:r w:rsidRPr="00523CC5">
        <w:rPr>
          <w:rFonts w:ascii="Arial" w:hAnsi="Arial" w:cs="Arial"/>
          <w:sz w:val="22"/>
        </w:rPr>
        <w:t xml:space="preserve"> are given in </w:t>
      </w:r>
      <w:r w:rsidRPr="00E96D65">
        <w:rPr>
          <w:rFonts w:ascii="Arial" w:hAnsi="Arial" w:cs="Arial"/>
          <w:color w:val="000000" w:themeColor="text1"/>
          <w:sz w:val="22"/>
        </w:rPr>
        <w:t xml:space="preserve">Figures </w:t>
      </w:r>
      <w:r w:rsidR="009015C1">
        <w:rPr>
          <w:rFonts w:ascii="Arial" w:hAnsi="Arial" w:cs="Arial"/>
          <w:color w:val="000000" w:themeColor="text1"/>
          <w:sz w:val="22"/>
        </w:rPr>
        <w:t>5</w:t>
      </w:r>
      <w:r w:rsidRPr="00E96D65">
        <w:rPr>
          <w:rFonts w:ascii="Arial" w:hAnsi="Arial" w:cs="Arial"/>
          <w:color w:val="000000" w:themeColor="text1"/>
          <w:sz w:val="22"/>
        </w:rPr>
        <w:t xml:space="preserve"> and </w:t>
      </w:r>
      <w:r w:rsidR="009015C1">
        <w:rPr>
          <w:rFonts w:ascii="Arial" w:hAnsi="Arial" w:cs="Arial"/>
          <w:color w:val="000000" w:themeColor="text1"/>
          <w:sz w:val="22"/>
        </w:rPr>
        <w:t>6</w:t>
      </w:r>
      <w:r>
        <w:rPr>
          <w:rFonts w:ascii="Arial" w:hAnsi="Arial" w:cs="Arial"/>
          <w:sz w:val="22"/>
        </w:rPr>
        <w:t xml:space="preserve">. These results </w:t>
      </w:r>
      <w:r w:rsidR="00AE339D">
        <w:rPr>
          <w:rFonts w:ascii="Arial" w:hAnsi="Arial" w:cs="Arial"/>
          <w:sz w:val="22"/>
        </w:rPr>
        <w:t xml:space="preserve">were </w:t>
      </w:r>
      <w:r>
        <w:rPr>
          <w:rFonts w:ascii="Arial" w:hAnsi="Arial" w:cs="Arial"/>
          <w:sz w:val="22"/>
        </w:rPr>
        <w:t>derived using</w:t>
      </w:r>
      <w:r w:rsidRPr="00523CC5">
        <w:rPr>
          <w:rFonts w:ascii="Arial" w:hAnsi="Arial" w:cs="Arial"/>
          <w:sz w:val="22"/>
        </w:rPr>
        <w:t xml:space="preserve"> the 2007 </w:t>
      </w:r>
      <w:r w:rsidR="00AE339D">
        <w:rPr>
          <w:rFonts w:ascii="Arial" w:hAnsi="Arial" w:cs="Arial"/>
          <w:sz w:val="22"/>
        </w:rPr>
        <w:t>ANCNPAS</w:t>
      </w:r>
      <w:r w:rsidRPr="00523CC5">
        <w:rPr>
          <w:rFonts w:ascii="Arial" w:hAnsi="Arial" w:cs="Arial"/>
          <w:sz w:val="22"/>
        </w:rPr>
        <w:t xml:space="preserve">. The iodine amounts include </w:t>
      </w:r>
      <w:r w:rsidR="00E11803">
        <w:rPr>
          <w:rFonts w:ascii="Arial" w:hAnsi="Arial" w:cs="Arial"/>
          <w:sz w:val="22"/>
        </w:rPr>
        <w:t xml:space="preserve">dietary </w:t>
      </w:r>
      <w:r w:rsidRPr="00523CC5">
        <w:rPr>
          <w:rFonts w:ascii="Arial" w:hAnsi="Arial" w:cs="Arial"/>
          <w:sz w:val="22"/>
        </w:rPr>
        <w:t xml:space="preserve">iodine from discretionary salt use, which was quantified in the survey results. The two </w:t>
      </w:r>
      <w:r w:rsidR="00E11803">
        <w:rPr>
          <w:rFonts w:ascii="Arial" w:hAnsi="Arial" w:cs="Arial"/>
          <w:sz w:val="22"/>
        </w:rPr>
        <w:t>figures</w:t>
      </w:r>
      <w:r w:rsidRPr="00523CC5">
        <w:rPr>
          <w:rFonts w:ascii="Arial" w:hAnsi="Arial" w:cs="Arial"/>
          <w:sz w:val="22"/>
        </w:rPr>
        <w:t xml:space="preserve"> show </w:t>
      </w:r>
      <w:r w:rsidR="00E96D65">
        <w:rPr>
          <w:rFonts w:ascii="Arial" w:hAnsi="Arial" w:cs="Arial"/>
          <w:sz w:val="22"/>
        </w:rPr>
        <w:t xml:space="preserve">that </w:t>
      </w:r>
      <w:r w:rsidRPr="00523CC5">
        <w:rPr>
          <w:rFonts w:ascii="Arial" w:hAnsi="Arial" w:cs="Arial"/>
          <w:sz w:val="22"/>
        </w:rPr>
        <w:t>the major food groups that contribute</w:t>
      </w:r>
      <w:r w:rsidR="00CD1B15">
        <w:rPr>
          <w:rFonts w:ascii="Arial" w:hAnsi="Arial" w:cs="Arial"/>
          <w:sz w:val="22"/>
        </w:rPr>
        <w:t>d</w:t>
      </w:r>
      <w:r w:rsidRPr="00523CC5">
        <w:rPr>
          <w:rFonts w:ascii="Arial" w:hAnsi="Arial" w:cs="Arial"/>
          <w:sz w:val="22"/>
        </w:rPr>
        <w:t xml:space="preserve"> to </w:t>
      </w:r>
      <w:r w:rsidR="00AE305B">
        <w:rPr>
          <w:rFonts w:ascii="Arial" w:hAnsi="Arial" w:cs="Arial"/>
          <w:sz w:val="22"/>
        </w:rPr>
        <w:t xml:space="preserve">the </w:t>
      </w:r>
      <w:r w:rsidR="00AE339D">
        <w:rPr>
          <w:rFonts w:ascii="Arial" w:hAnsi="Arial" w:cs="Arial"/>
          <w:sz w:val="22"/>
        </w:rPr>
        <w:t xml:space="preserve">estimated </w:t>
      </w:r>
      <w:r w:rsidRPr="00523CC5">
        <w:rPr>
          <w:rFonts w:ascii="Arial" w:hAnsi="Arial" w:cs="Arial"/>
          <w:sz w:val="22"/>
        </w:rPr>
        <w:t xml:space="preserve">dietary iodine for children </w:t>
      </w:r>
      <w:r w:rsidR="00E96D65">
        <w:rPr>
          <w:rFonts w:ascii="Arial" w:hAnsi="Arial" w:cs="Arial"/>
          <w:sz w:val="22"/>
        </w:rPr>
        <w:t xml:space="preserve">aged </w:t>
      </w:r>
      <w:r w:rsidRPr="00523CC5">
        <w:rPr>
          <w:rFonts w:ascii="Arial" w:hAnsi="Arial" w:cs="Arial"/>
          <w:sz w:val="22"/>
        </w:rPr>
        <w:t>2-3 years and 2-16 years were m</w:t>
      </w:r>
      <w:r w:rsidRPr="00523CC5">
        <w:rPr>
          <w:rFonts w:ascii="Arial" w:hAnsi="Arial" w:cs="Arial"/>
          <w:color w:val="000000"/>
          <w:sz w:val="22"/>
        </w:rPr>
        <w:t xml:space="preserve">ilk products and dishes, </w:t>
      </w:r>
      <w:r w:rsidR="00E11803" w:rsidRPr="00523CC5">
        <w:rPr>
          <w:rFonts w:ascii="Arial" w:hAnsi="Arial" w:cs="Arial"/>
          <w:color w:val="000000"/>
          <w:sz w:val="22"/>
        </w:rPr>
        <w:t>non-alcoholic beverages</w:t>
      </w:r>
      <w:r w:rsidR="00E11803">
        <w:rPr>
          <w:rFonts w:ascii="Arial" w:hAnsi="Arial" w:cs="Arial"/>
          <w:color w:val="000000"/>
          <w:sz w:val="22"/>
        </w:rPr>
        <w:t>,</w:t>
      </w:r>
      <w:r w:rsidR="00E11803" w:rsidRPr="00523CC5">
        <w:rPr>
          <w:rFonts w:ascii="Arial" w:hAnsi="Arial" w:cs="Arial"/>
          <w:color w:val="000000"/>
          <w:sz w:val="22"/>
        </w:rPr>
        <w:t xml:space="preserve"> </w:t>
      </w:r>
      <w:r w:rsidRPr="00523CC5">
        <w:rPr>
          <w:rFonts w:ascii="Arial" w:hAnsi="Arial" w:cs="Arial"/>
          <w:color w:val="000000"/>
          <w:sz w:val="22"/>
        </w:rPr>
        <w:t xml:space="preserve">cereals and cereal products </w:t>
      </w:r>
      <w:r w:rsidRPr="00523CC5">
        <w:rPr>
          <w:rFonts w:ascii="Arial" w:hAnsi="Arial" w:cs="Arial"/>
          <w:sz w:val="22"/>
        </w:rPr>
        <w:t xml:space="preserve">and </w:t>
      </w:r>
      <w:r w:rsidRPr="00523CC5">
        <w:rPr>
          <w:rFonts w:ascii="Arial" w:hAnsi="Arial" w:cs="Arial"/>
          <w:color w:val="000000"/>
          <w:sz w:val="22"/>
        </w:rPr>
        <w:t>cereal-based products and dishes.</w:t>
      </w:r>
    </w:p>
    <w:p w14:paraId="5D734B1C" w14:textId="77777777" w:rsidR="00DD7D43" w:rsidRDefault="00B4296C" w:rsidP="00CC5193">
      <w:pPr>
        <w:rPr>
          <w:rFonts w:ascii="Arial" w:hAnsi="Arial" w:cs="Arial"/>
          <w:color w:val="000000"/>
          <w:sz w:val="22"/>
        </w:rPr>
      </w:pPr>
      <w:r>
        <w:rPr>
          <w:rFonts w:ascii="Arial" w:hAnsi="Arial" w:cs="Arial"/>
          <w:color w:val="000000"/>
          <w:sz w:val="22"/>
        </w:rPr>
        <w:t xml:space="preserve">The component foods of these major food groups </w:t>
      </w:r>
      <w:r w:rsidR="00B30D9C">
        <w:rPr>
          <w:rFonts w:ascii="Arial" w:hAnsi="Arial" w:cs="Arial"/>
          <w:color w:val="000000"/>
          <w:sz w:val="22"/>
        </w:rPr>
        <w:t>are:</w:t>
      </w:r>
    </w:p>
    <w:p w14:paraId="5D734B1D" w14:textId="77777777" w:rsidR="00DD7D43" w:rsidRDefault="00B4296C" w:rsidP="00CC5193">
      <w:pPr>
        <w:rPr>
          <w:rFonts w:ascii="Arial" w:hAnsi="Arial" w:cs="Arial"/>
          <w:color w:val="000000"/>
          <w:sz w:val="22"/>
        </w:rPr>
      </w:pPr>
      <w:r>
        <w:rPr>
          <w:rFonts w:ascii="Arial" w:hAnsi="Arial" w:cs="Arial"/>
          <w:b/>
          <w:sz w:val="22"/>
        </w:rPr>
        <w:t>M</w:t>
      </w:r>
      <w:r w:rsidRPr="00523CC5">
        <w:rPr>
          <w:rFonts w:ascii="Arial" w:hAnsi="Arial" w:cs="Arial"/>
          <w:b/>
          <w:sz w:val="22"/>
        </w:rPr>
        <w:t>ilk products and dishes</w:t>
      </w:r>
      <w:r w:rsidRPr="00523CC5">
        <w:rPr>
          <w:rFonts w:ascii="Arial" w:hAnsi="Arial" w:cs="Arial"/>
          <w:sz w:val="22"/>
        </w:rPr>
        <w:t xml:space="preserve">  </w:t>
      </w:r>
    </w:p>
    <w:p w14:paraId="5D734B1E" w14:textId="77777777" w:rsidR="00986A0F" w:rsidRPr="00986A0F" w:rsidRDefault="00B4296C" w:rsidP="000F5E29">
      <w:pPr>
        <w:pStyle w:val="ListParagraph"/>
        <w:numPr>
          <w:ilvl w:val="0"/>
          <w:numId w:val="29"/>
        </w:numPr>
        <w:ind w:left="0" w:firstLine="0"/>
        <w:rPr>
          <w:rFonts w:ascii="Arial" w:hAnsi="Arial" w:cs="Arial"/>
          <w:color w:val="000000"/>
          <w:sz w:val="22"/>
        </w:rPr>
      </w:pPr>
      <w:r w:rsidRPr="00DD7D43">
        <w:rPr>
          <w:rFonts w:ascii="Arial" w:hAnsi="Arial" w:cs="Arial"/>
          <w:sz w:val="22"/>
        </w:rPr>
        <w:t>Milks (plain and flavoured), evaporated milk, condensed milk, milk powders</w:t>
      </w:r>
    </w:p>
    <w:p w14:paraId="5D734B1F" w14:textId="77777777" w:rsidR="00E23F6E" w:rsidRPr="00E23F6E" w:rsidRDefault="00B4296C" w:rsidP="000F5E29">
      <w:pPr>
        <w:pStyle w:val="ListParagraph"/>
        <w:numPr>
          <w:ilvl w:val="0"/>
          <w:numId w:val="29"/>
        </w:numPr>
        <w:ind w:left="0" w:firstLine="0"/>
        <w:rPr>
          <w:rFonts w:ascii="Arial" w:hAnsi="Arial" w:cs="Arial"/>
          <w:color w:val="000000"/>
          <w:sz w:val="22"/>
        </w:rPr>
      </w:pPr>
      <w:r w:rsidRPr="00986A0F">
        <w:rPr>
          <w:rFonts w:ascii="Arial" w:hAnsi="Arial" w:cs="Arial"/>
          <w:sz w:val="22"/>
        </w:rPr>
        <w:t>Yoghurts (plain, flavoured and fruit), frozen yoghurts</w:t>
      </w:r>
    </w:p>
    <w:p w14:paraId="5D734B20" w14:textId="77777777" w:rsidR="00E23F6E" w:rsidRPr="00E23F6E" w:rsidRDefault="00E23F6E" w:rsidP="000F5E29">
      <w:pPr>
        <w:pStyle w:val="ListParagraph"/>
        <w:numPr>
          <w:ilvl w:val="0"/>
          <w:numId w:val="29"/>
        </w:numPr>
        <w:ind w:left="0" w:firstLine="0"/>
        <w:rPr>
          <w:rFonts w:ascii="Arial" w:hAnsi="Arial" w:cs="Arial"/>
          <w:color w:val="000000"/>
          <w:sz w:val="22"/>
        </w:rPr>
      </w:pPr>
      <w:r>
        <w:rPr>
          <w:rFonts w:ascii="Arial" w:hAnsi="Arial" w:cs="Arial"/>
          <w:sz w:val="22"/>
        </w:rPr>
        <w:t>Cheeses and Creams</w:t>
      </w:r>
    </w:p>
    <w:p w14:paraId="5D734B21" w14:textId="77777777" w:rsidR="00E23F6E" w:rsidRPr="00E23F6E" w:rsidRDefault="007764FD" w:rsidP="000F5E29">
      <w:pPr>
        <w:pStyle w:val="ListParagraph"/>
        <w:numPr>
          <w:ilvl w:val="0"/>
          <w:numId w:val="29"/>
        </w:numPr>
        <w:ind w:left="0" w:firstLine="0"/>
        <w:rPr>
          <w:rFonts w:ascii="Arial" w:hAnsi="Arial" w:cs="Arial"/>
          <w:color w:val="000000"/>
          <w:sz w:val="22"/>
        </w:rPr>
      </w:pPr>
      <w:r>
        <w:rPr>
          <w:rFonts w:ascii="Arial" w:hAnsi="Arial" w:cs="Arial"/>
          <w:sz w:val="22"/>
        </w:rPr>
        <w:t>Ice</w:t>
      </w:r>
      <w:r w:rsidR="00E23F6E">
        <w:rPr>
          <w:rFonts w:ascii="Arial" w:hAnsi="Arial" w:cs="Arial"/>
          <w:sz w:val="22"/>
        </w:rPr>
        <w:t xml:space="preserve"> creams and ice confections (dairy and soy-based)</w:t>
      </w:r>
    </w:p>
    <w:p w14:paraId="5D734B22" w14:textId="77777777" w:rsidR="00E23F6E" w:rsidRPr="00E23F6E" w:rsidRDefault="00E23F6E" w:rsidP="000F5E29">
      <w:pPr>
        <w:pStyle w:val="ListParagraph"/>
        <w:numPr>
          <w:ilvl w:val="0"/>
          <w:numId w:val="29"/>
        </w:numPr>
        <w:ind w:left="0" w:firstLine="0"/>
        <w:rPr>
          <w:rFonts w:ascii="Arial" w:hAnsi="Arial" w:cs="Arial"/>
          <w:color w:val="000000"/>
          <w:sz w:val="22"/>
        </w:rPr>
      </w:pPr>
      <w:r>
        <w:rPr>
          <w:rFonts w:ascii="Arial" w:hAnsi="Arial" w:cs="Arial"/>
          <w:sz w:val="22"/>
        </w:rPr>
        <w:t>Custards and other dairy based desserts</w:t>
      </w:r>
    </w:p>
    <w:p w14:paraId="5D734B23" w14:textId="77777777" w:rsidR="005D7E59" w:rsidRPr="000F5E29" w:rsidRDefault="00E23F6E" w:rsidP="00E23F6E">
      <w:pPr>
        <w:pStyle w:val="ListParagraph"/>
        <w:numPr>
          <w:ilvl w:val="0"/>
          <w:numId w:val="29"/>
        </w:numPr>
        <w:ind w:left="0" w:firstLine="0"/>
        <w:rPr>
          <w:rFonts w:ascii="Arial" w:hAnsi="Arial" w:cs="Arial"/>
          <w:color w:val="000000"/>
          <w:sz w:val="22"/>
        </w:rPr>
      </w:pPr>
      <w:r>
        <w:rPr>
          <w:rFonts w:ascii="Arial" w:hAnsi="Arial" w:cs="Arial"/>
          <w:sz w:val="22"/>
        </w:rPr>
        <w:t>Soy- based beverages</w:t>
      </w:r>
    </w:p>
    <w:p w14:paraId="5D734B24" w14:textId="77777777" w:rsidR="00E23F6E" w:rsidRDefault="006C6D43" w:rsidP="00E23F6E">
      <w:pPr>
        <w:rPr>
          <w:rFonts w:ascii="Arial" w:hAnsi="Arial" w:cs="Arial"/>
          <w:sz w:val="22"/>
        </w:rPr>
      </w:pPr>
      <w:r w:rsidRPr="00E23F6E">
        <w:rPr>
          <w:rFonts w:ascii="Arial" w:hAnsi="Arial" w:cs="Arial"/>
          <w:b/>
          <w:sz w:val="22"/>
        </w:rPr>
        <w:t>Non-alcoholic beverages</w:t>
      </w:r>
      <w:r w:rsidRPr="00E23F6E">
        <w:rPr>
          <w:rFonts w:ascii="Arial" w:hAnsi="Arial" w:cs="Arial"/>
          <w:sz w:val="22"/>
        </w:rPr>
        <w:t xml:space="preserve"> </w:t>
      </w:r>
    </w:p>
    <w:p w14:paraId="5D734B25" w14:textId="77777777" w:rsidR="006C6D43" w:rsidRPr="00E23F6E" w:rsidRDefault="006C6D43" w:rsidP="000F5E29">
      <w:pPr>
        <w:pStyle w:val="ListParagraph"/>
        <w:numPr>
          <w:ilvl w:val="0"/>
          <w:numId w:val="29"/>
        </w:numPr>
        <w:ind w:left="0" w:firstLine="0"/>
        <w:rPr>
          <w:rFonts w:ascii="Arial" w:hAnsi="Arial" w:cs="Arial"/>
          <w:sz w:val="22"/>
        </w:rPr>
      </w:pPr>
      <w:r w:rsidRPr="00E23F6E">
        <w:rPr>
          <w:rFonts w:ascii="Arial" w:hAnsi="Arial" w:cs="Arial"/>
          <w:sz w:val="22"/>
        </w:rPr>
        <w:t xml:space="preserve">Teas and Coffees (all forms) </w:t>
      </w:r>
    </w:p>
    <w:p w14:paraId="5D734B26" w14:textId="77777777" w:rsidR="000F5E29" w:rsidRDefault="006C6D43" w:rsidP="000F5E29">
      <w:pPr>
        <w:pStyle w:val="ListParagraph"/>
        <w:keepNext/>
        <w:keepLines/>
        <w:numPr>
          <w:ilvl w:val="0"/>
          <w:numId w:val="23"/>
        </w:numPr>
        <w:tabs>
          <w:tab w:val="clear" w:pos="567"/>
        </w:tabs>
        <w:ind w:left="0" w:firstLine="0"/>
        <w:rPr>
          <w:rFonts w:ascii="Arial" w:hAnsi="Arial" w:cs="Arial"/>
          <w:sz w:val="22"/>
        </w:rPr>
      </w:pPr>
      <w:r>
        <w:rPr>
          <w:rFonts w:ascii="Arial" w:hAnsi="Arial" w:cs="Arial"/>
          <w:sz w:val="22"/>
        </w:rPr>
        <w:t>F</w:t>
      </w:r>
      <w:r w:rsidRPr="00AE1BC5">
        <w:rPr>
          <w:rFonts w:ascii="Arial" w:hAnsi="Arial" w:cs="Arial"/>
          <w:sz w:val="22"/>
        </w:rPr>
        <w:t xml:space="preserve">ruit </w:t>
      </w:r>
      <w:r>
        <w:rPr>
          <w:rFonts w:ascii="Arial" w:hAnsi="Arial" w:cs="Arial"/>
          <w:sz w:val="22"/>
        </w:rPr>
        <w:t>and vegetable juices and drinks</w:t>
      </w:r>
      <w:r w:rsidRPr="00AE1BC5">
        <w:rPr>
          <w:rFonts w:ascii="Arial" w:hAnsi="Arial" w:cs="Arial"/>
          <w:sz w:val="22"/>
        </w:rPr>
        <w:t xml:space="preserve"> </w:t>
      </w:r>
    </w:p>
    <w:p w14:paraId="5D734B27" w14:textId="77777777" w:rsidR="006C6D43" w:rsidRPr="000F5E29" w:rsidRDefault="006C6D43" w:rsidP="000F5E29">
      <w:pPr>
        <w:pStyle w:val="ListParagraph"/>
        <w:keepNext/>
        <w:keepLines/>
        <w:numPr>
          <w:ilvl w:val="0"/>
          <w:numId w:val="23"/>
        </w:numPr>
        <w:tabs>
          <w:tab w:val="clear" w:pos="567"/>
        </w:tabs>
        <w:ind w:left="0" w:firstLine="0"/>
        <w:rPr>
          <w:rFonts w:ascii="Arial" w:hAnsi="Arial" w:cs="Arial"/>
          <w:sz w:val="22"/>
        </w:rPr>
      </w:pPr>
      <w:r w:rsidRPr="000F5E29">
        <w:rPr>
          <w:rFonts w:ascii="Arial" w:hAnsi="Arial" w:cs="Arial"/>
          <w:sz w:val="22"/>
        </w:rPr>
        <w:t>Cordials, soft drinks and mineral waters</w:t>
      </w:r>
    </w:p>
    <w:p w14:paraId="5D734B28" w14:textId="77777777" w:rsidR="006C6D43" w:rsidRDefault="006C6D43" w:rsidP="000F5E29">
      <w:pPr>
        <w:pStyle w:val="ListParagraph"/>
        <w:keepNext/>
        <w:keepLines/>
        <w:numPr>
          <w:ilvl w:val="0"/>
          <w:numId w:val="23"/>
        </w:numPr>
        <w:tabs>
          <w:tab w:val="clear" w:pos="567"/>
        </w:tabs>
        <w:ind w:left="0" w:firstLine="0"/>
        <w:rPr>
          <w:rFonts w:ascii="Arial" w:hAnsi="Arial" w:cs="Arial"/>
          <w:sz w:val="22"/>
        </w:rPr>
      </w:pPr>
      <w:r>
        <w:rPr>
          <w:rFonts w:ascii="Arial" w:hAnsi="Arial" w:cs="Arial"/>
          <w:sz w:val="22"/>
        </w:rPr>
        <w:t>E</w:t>
      </w:r>
      <w:r w:rsidRPr="00AE1BC5">
        <w:rPr>
          <w:rFonts w:ascii="Arial" w:hAnsi="Arial" w:cs="Arial"/>
          <w:sz w:val="22"/>
        </w:rPr>
        <w:t xml:space="preserve">lectrolyte drinks, sports drinks </w:t>
      </w:r>
    </w:p>
    <w:p w14:paraId="5D734B29" w14:textId="77777777" w:rsidR="006C6D43" w:rsidRPr="005D7E59" w:rsidRDefault="006C6D43" w:rsidP="000F5E29">
      <w:pPr>
        <w:pStyle w:val="ListParagraph"/>
        <w:keepNext/>
        <w:keepLines/>
        <w:numPr>
          <w:ilvl w:val="0"/>
          <w:numId w:val="23"/>
        </w:numPr>
        <w:tabs>
          <w:tab w:val="clear" w:pos="567"/>
        </w:tabs>
        <w:ind w:left="0" w:firstLine="0"/>
        <w:rPr>
          <w:rFonts w:ascii="Arial" w:hAnsi="Arial" w:cs="Arial"/>
          <w:sz w:val="22"/>
        </w:rPr>
      </w:pPr>
      <w:r>
        <w:rPr>
          <w:rFonts w:ascii="Arial" w:hAnsi="Arial" w:cs="Arial"/>
          <w:sz w:val="22"/>
        </w:rPr>
        <w:t>B</w:t>
      </w:r>
      <w:r w:rsidRPr="00AE1BC5">
        <w:rPr>
          <w:rFonts w:ascii="Arial" w:hAnsi="Arial" w:cs="Arial"/>
          <w:sz w:val="22"/>
        </w:rPr>
        <w:t>ottled water and tap water.</w:t>
      </w:r>
    </w:p>
    <w:p w14:paraId="5D734B2A" w14:textId="77777777" w:rsidR="00B71BA8" w:rsidRDefault="00B71BA8" w:rsidP="00CC5193">
      <w:pPr>
        <w:keepNext/>
        <w:keepLines/>
        <w:tabs>
          <w:tab w:val="clear" w:pos="567"/>
        </w:tabs>
        <w:rPr>
          <w:rFonts w:ascii="Arial" w:hAnsi="Arial" w:cs="Arial"/>
          <w:b/>
          <w:sz w:val="22"/>
        </w:rPr>
      </w:pPr>
      <w:r>
        <w:rPr>
          <w:rFonts w:ascii="Arial" w:hAnsi="Arial" w:cs="Arial"/>
          <w:b/>
          <w:sz w:val="22"/>
        </w:rPr>
        <w:t>Cereal and cereal products</w:t>
      </w:r>
    </w:p>
    <w:p w14:paraId="5D734B2B" w14:textId="77777777" w:rsidR="00B71BA8"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Grains</w:t>
      </w:r>
    </w:p>
    <w:p w14:paraId="5D734B2C" w14:textId="77777777" w:rsidR="00B71BA8"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 xml:space="preserve">Breads and rolls </w:t>
      </w:r>
    </w:p>
    <w:p w14:paraId="5D734B2D" w14:textId="77777777" w:rsidR="00B71BA8" w:rsidRPr="00B71BA8"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English style muffins, crumpets</w:t>
      </w:r>
    </w:p>
    <w:p w14:paraId="5D734B2E" w14:textId="77777777" w:rsidR="00B71BA8"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Breakfast cereals</w:t>
      </w:r>
    </w:p>
    <w:p w14:paraId="5D734B2F" w14:textId="77777777" w:rsidR="00B71BA8"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Cereal flours and starch powders</w:t>
      </w:r>
    </w:p>
    <w:p w14:paraId="5D734B30" w14:textId="77777777" w:rsidR="00E96D65" w:rsidRDefault="00B71BA8" w:rsidP="000F5E29">
      <w:pPr>
        <w:pStyle w:val="ListParagraph"/>
        <w:keepNext/>
        <w:keepLines/>
        <w:numPr>
          <w:ilvl w:val="0"/>
          <w:numId w:val="26"/>
        </w:numPr>
        <w:tabs>
          <w:tab w:val="clear" w:pos="567"/>
        </w:tabs>
        <w:ind w:left="0" w:firstLine="0"/>
        <w:rPr>
          <w:rFonts w:ascii="Arial" w:hAnsi="Arial" w:cs="Arial"/>
          <w:sz w:val="22"/>
        </w:rPr>
      </w:pPr>
      <w:r>
        <w:rPr>
          <w:rFonts w:ascii="Arial" w:hAnsi="Arial" w:cs="Arial"/>
          <w:sz w:val="22"/>
        </w:rPr>
        <w:t>Tortillas, pastas, noodles and rice</w:t>
      </w:r>
    </w:p>
    <w:p w14:paraId="5D734B32" w14:textId="77777777" w:rsidR="00E51250" w:rsidRPr="00E51250" w:rsidRDefault="00E51250" w:rsidP="00E51250">
      <w:pPr>
        <w:keepLines/>
        <w:tabs>
          <w:tab w:val="clear" w:pos="567"/>
        </w:tabs>
        <w:rPr>
          <w:rFonts w:ascii="Arial" w:hAnsi="Arial" w:cs="Arial"/>
          <w:sz w:val="22"/>
        </w:rPr>
      </w:pPr>
    </w:p>
    <w:p w14:paraId="5D734B33" w14:textId="77777777" w:rsidR="00B4296C" w:rsidRPr="00B4296C" w:rsidRDefault="00B4296C" w:rsidP="00CC5193">
      <w:pPr>
        <w:rPr>
          <w:rFonts w:ascii="Arial" w:hAnsi="Arial" w:cs="Arial"/>
          <w:b/>
          <w:color w:val="000000"/>
          <w:sz w:val="22"/>
        </w:rPr>
      </w:pPr>
      <w:r w:rsidRPr="00B4296C">
        <w:rPr>
          <w:rFonts w:ascii="Arial" w:hAnsi="Arial" w:cs="Arial"/>
          <w:b/>
          <w:color w:val="000000"/>
          <w:sz w:val="22"/>
        </w:rPr>
        <w:t>Cereal based products and dishes</w:t>
      </w:r>
    </w:p>
    <w:p w14:paraId="5D734B34" w14:textId="77777777" w:rsidR="00B4296C" w:rsidRDefault="00B4296C" w:rsidP="000F5E29">
      <w:pPr>
        <w:pStyle w:val="ListParagraph"/>
        <w:numPr>
          <w:ilvl w:val="0"/>
          <w:numId w:val="25"/>
        </w:numPr>
        <w:ind w:left="0" w:firstLine="0"/>
        <w:rPr>
          <w:rFonts w:ascii="Arial" w:hAnsi="Arial" w:cs="Arial"/>
          <w:color w:val="000000"/>
          <w:sz w:val="22"/>
        </w:rPr>
      </w:pPr>
      <w:r w:rsidRPr="00B4296C">
        <w:rPr>
          <w:rFonts w:ascii="Arial" w:hAnsi="Arial" w:cs="Arial"/>
          <w:color w:val="000000"/>
          <w:sz w:val="22"/>
        </w:rPr>
        <w:lastRenderedPageBreak/>
        <w:t>Biscuits (sweet and savoury)</w:t>
      </w:r>
    </w:p>
    <w:p w14:paraId="5D734B35"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Cakes and Muffins (cake style)</w:t>
      </w:r>
    </w:p>
    <w:p w14:paraId="5D734B36"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Buns, scones, pancakes, crepes, pikelets and doughnuts</w:t>
      </w:r>
    </w:p>
    <w:p w14:paraId="5D734B37"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Pastries and pastry products (sweet and savoury)</w:t>
      </w:r>
    </w:p>
    <w:p w14:paraId="5D734B38"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Pizzas, sandwiches, filled rolls and hamburgers</w:t>
      </w:r>
    </w:p>
    <w:p w14:paraId="5D734B39"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Taco and tortilla-based dishes</w:t>
      </w:r>
    </w:p>
    <w:p w14:paraId="5D734B3A" w14:textId="77777777" w:rsidR="00B4296C" w:rsidRDefault="00B4296C" w:rsidP="000F5E29">
      <w:pPr>
        <w:pStyle w:val="ListParagraph"/>
        <w:numPr>
          <w:ilvl w:val="0"/>
          <w:numId w:val="25"/>
        </w:numPr>
        <w:ind w:left="0" w:firstLine="0"/>
        <w:rPr>
          <w:rFonts w:ascii="Arial" w:hAnsi="Arial" w:cs="Arial"/>
          <w:color w:val="000000"/>
          <w:sz w:val="22"/>
        </w:rPr>
      </w:pPr>
      <w:r>
        <w:rPr>
          <w:rFonts w:ascii="Arial" w:hAnsi="Arial" w:cs="Arial"/>
          <w:color w:val="000000"/>
          <w:sz w:val="22"/>
        </w:rPr>
        <w:t>Savoury pasta and sauce dishes</w:t>
      </w:r>
    </w:p>
    <w:p w14:paraId="5D734B3C" w14:textId="56D0F84D" w:rsidR="00B71BA8" w:rsidRPr="006B57A7" w:rsidRDefault="00B4296C" w:rsidP="006B57A7">
      <w:pPr>
        <w:pStyle w:val="ListParagraph"/>
        <w:numPr>
          <w:ilvl w:val="0"/>
          <w:numId w:val="25"/>
        </w:numPr>
        <w:ind w:left="0" w:firstLine="0"/>
        <w:rPr>
          <w:rFonts w:ascii="Arial" w:hAnsi="Arial" w:cs="Arial"/>
          <w:color w:val="000000"/>
          <w:sz w:val="22"/>
        </w:rPr>
      </w:pPr>
      <w:r>
        <w:rPr>
          <w:rFonts w:ascii="Arial" w:hAnsi="Arial" w:cs="Arial"/>
          <w:color w:val="000000"/>
          <w:sz w:val="22"/>
        </w:rPr>
        <w:t>Dim-sims, spring rolls, savoury rice-based dishes</w:t>
      </w:r>
    </w:p>
    <w:p w14:paraId="5D734B3D" w14:textId="77777777" w:rsidR="00070417" w:rsidRDefault="00070417" w:rsidP="006B57A7">
      <w:pPr>
        <w:spacing w:after="0" w:line="240" w:lineRule="auto"/>
        <w:rPr>
          <w:rFonts w:ascii="Arial" w:hAnsi="Arial" w:cs="Arial"/>
          <w:color w:val="000000"/>
          <w:sz w:val="22"/>
        </w:rPr>
      </w:pPr>
    </w:p>
    <w:p w14:paraId="5D734B3E" w14:textId="77777777" w:rsidR="00B71BA8" w:rsidRPr="00B71BA8" w:rsidRDefault="00C93BF8" w:rsidP="00CC5193">
      <w:pPr>
        <w:rPr>
          <w:rFonts w:ascii="Arial" w:hAnsi="Arial" w:cs="Arial"/>
          <w:color w:val="000000"/>
          <w:sz w:val="22"/>
        </w:rPr>
      </w:pPr>
      <w:r w:rsidRPr="00C93BF8">
        <w:rPr>
          <w:noProof/>
          <w:lang w:eastAsia="en-GB"/>
        </w:rPr>
        <w:drawing>
          <wp:inline distT="0" distB="0" distL="0" distR="0" wp14:anchorId="5D734D6D" wp14:editId="4E50FF31">
            <wp:extent cx="5760720" cy="3291840"/>
            <wp:effectExtent l="0" t="0" r="0" b="3810"/>
            <wp:docPr id="28" name="Picture 28" title="Figure 5: Major food contributors to total dietary iodine intake (%) – Australian children 2-3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291114"/>
                    </a:xfrm>
                    <a:prstGeom prst="rect">
                      <a:avLst/>
                    </a:prstGeom>
                    <a:noFill/>
                    <a:ln>
                      <a:noFill/>
                    </a:ln>
                  </pic:spPr>
                </pic:pic>
              </a:graphicData>
            </a:graphic>
          </wp:inline>
        </w:drawing>
      </w:r>
    </w:p>
    <w:p w14:paraId="5D734B3F" w14:textId="77777777" w:rsidR="00AE12EB" w:rsidRDefault="00942B0B" w:rsidP="005D7E59">
      <w:pPr>
        <w:pStyle w:val="Caption"/>
        <w:spacing w:after="200" w:line="276" w:lineRule="auto"/>
        <w:rPr>
          <w:rFonts w:cs="Arial"/>
          <w:sz w:val="20"/>
        </w:rPr>
      </w:pPr>
      <w:bookmarkStart w:id="38" w:name="_Toc430854551"/>
      <w:r w:rsidRPr="00942B0B">
        <w:rPr>
          <w:rFonts w:cs="Arial"/>
          <w:sz w:val="20"/>
        </w:rPr>
        <w:t xml:space="preserve">Figure </w:t>
      </w:r>
      <w:r w:rsidRPr="00942B0B">
        <w:rPr>
          <w:rFonts w:cs="Arial"/>
          <w:sz w:val="20"/>
        </w:rPr>
        <w:fldChar w:fldCharType="begin"/>
      </w:r>
      <w:r w:rsidRPr="00942B0B">
        <w:rPr>
          <w:rFonts w:cs="Arial"/>
          <w:sz w:val="20"/>
        </w:rPr>
        <w:instrText xml:space="preserve"> SEQ Figure \* ARABIC </w:instrText>
      </w:r>
      <w:r w:rsidRPr="00942B0B">
        <w:rPr>
          <w:rFonts w:cs="Arial"/>
          <w:sz w:val="20"/>
        </w:rPr>
        <w:fldChar w:fldCharType="separate"/>
      </w:r>
      <w:r w:rsidR="00A41217">
        <w:rPr>
          <w:rFonts w:cs="Arial"/>
          <w:noProof/>
          <w:sz w:val="20"/>
        </w:rPr>
        <w:t>5</w:t>
      </w:r>
      <w:r w:rsidRPr="00942B0B">
        <w:rPr>
          <w:rFonts w:cs="Arial"/>
          <w:sz w:val="20"/>
        </w:rPr>
        <w:fldChar w:fldCharType="end"/>
      </w:r>
      <w:r w:rsidRPr="00942B0B">
        <w:rPr>
          <w:rFonts w:cs="Arial"/>
          <w:sz w:val="20"/>
        </w:rPr>
        <w:t xml:space="preserve">: Major food contributors to total dietary iodine intake (%) </w:t>
      </w:r>
      <w:r w:rsidR="003E39E8">
        <w:rPr>
          <w:rFonts w:cs="Arial"/>
          <w:sz w:val="20"/>
        </w:rPr>
        <w:t>–</w:t>
      </w:r>
      <w:r w:rsidRPr="00942B0B">
        <w:rPr>
          <w:rFonts w:cs="Arial"/>
          <w:sz w:val="20"/>
        </w:rPr>
        <w:t xml:space="preserve"> </w:t>
      </w:r>
      <w:r w:rsidR="003E39E8">
        <w:rPr>
          <w:rFonts w:cs="Arial"/>
          <w:sz w:val="20"/>
        </w:rPr>
        <w:t>Australian c</w:t>
      </w:r>
      <w:r w:rsidRPr="00942B0B">
        <w:rPr>
          <w:rFonts w:cs="Arial"/>
          <w:sz w:val="20"/>
        </w:rPr>
        <w:t>hildren 2-3 years</w:t>
      </w:r>
      <w:r w:rsidR="003E39E8">
        <w:rPr>
          <w:rFonts w:cs="Arial"/>
          <w:sz w:val="20"/>
        </w:rPr>
        <w:t xml:space="preserve"> old</w:t>
      </w:r>
      <w:bookmarkEnd w:id="38"/>
    </w:p>
    <w:p w14:paraId="5D734B40" w14:textId="77777777" w:rsidR="005D7E59" w:rsidRPr="005D7E59" w:rsidRDefault="005D7E59" w:rsidP="005D7E59">
      <w:pPr>
        <w:rPr>
          <w:lang w:val="en-AU" w:eastAsia="en-AU"/>
        </w:rPr>
      </w:pPr>
    </w:p>
    <w:p w14:paraId="5D734B41" w14:textId="77777777" w:rsidR="00B30D9C" w:rsidRPr="00AE12EB" w:rsidRDefault="00C93BF8" w:rsidP="00CC5193">
      <w:pPr>
        <w:rPr>
          <w:rFonts w:ascii="Arial" w:hAnsi="Arial" w:cs="Arial"/>
          <w:color w:val="000000"/>
          <w:sz w:val="22"/>
        </w:rPr>
      </w:pPr>
      <w:r w:rsidRPr="00C93BF8">
        <w:rPr>
          <w:noProof/>
          <w:lang w:eastAsia="en-GB"/>
        </w:rPr>
        <w:lastRenderedPageBreak/>
        <w:drawing>
          <wp:inline distT="0" distB="0" distL="0" distR="0" wp14:anchorId="5D734D6F" wp14:editId="7E2BCBC3">
            <wp:extent cx="5760720" cy="3246120"/>
            <wp:effectExtent l="0" t="0" r="0" b="0"/>
            <wp:docPr id="29" name="Picture 29" title="Figure 6: Major food contributors to total dietary iodine intake (%) - Children 2-16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245405"/>
                    </a:xfrm>
                    <a:prstGeom prst="rect">
                      <a:avLst/>
                    </a:prstGeom>
                    <a:noFill/>
                    <a:ln>
                      <a:noFill/>
                    </a:ln>
                  </pic:spPr>
                </pic:pic>
              </a:graphicData>
            </a:graphic>
          </wp:inline>
        </w:drawing>
      </w:r>
    </w:p>
    <w:p w14:paraId="5D734B42" w14:textId="77777777" w:rsidR="009153C0" w:rsidRDefault="00942B0B" w:rsidP="005D7E59">
      <w:pPr>
        <w:pStyle w:val="Caption"/>
        <w:spacing w:after="200" w:line="276" w:lineRule="auto"/>
        <w:rPr>
          <w:rFonts w:cs="Arial"/>
          <w:sz w:val="20"/>
        </w:rPr>
      </w:pPr>
      <w:bookmarkStart w:id="39" w:name="_Toc430854552"/>
      <w:r w:rsidRPr="00BE59B7">
        <w:rPr>
          <w:rFonts w:cs="Arial"/>
          <w:sz w:val="20"/>
        </w:rPr>
        <w:t xml:space="preserve">Figure </w:t>
      </w:r>
      <w:r w:rsidRPr="00BE59B7">
        <w:rPr>
          <w:rFonts w:cs="Arial"/>
          <w:sz w:val="20"/>
        </w:rPr>
        <w:fldChar w:fldCharType="begin"/>
      </w:r>
      <w:r w:rsidRPr="00BE59B7">
        <w:rPr>
          <w:rFonts w:cs="Arial"/>
          <w:sz w:val="20"/>
        </w:rPr>
        <w:instrText xml:space="preserve"> SEQ Figure \* ARABIC </w:instrText>
      </w:r>
      <w:r w:rsidRPr="00BE59B7">
        <w:rPr>
          <w:rFonts w:cs="Arial"/>
          <w:sz w:val="20"/>
        </w:rPr>
        <w:fldChar w:fldCharType="separate"/>
      </w:r>
      <w:r w:rsidR="00A41217">
        <w:rPr>
          <w:rFonts w:cs="Arial"/>
          <w:noProof/>
          <w:sz w:val="20"/>
        </w:rPr>
        <w:t>6</w:t>
      </w:r>
      <w:r w:rsidRPr="00BE59B7">
        <w:rPr>
          <w:rFonts w:cs="Arial"/>
          <w:sz w:val="20"/>
        </w:rPr>
        <w:fldChar w:fldCharType="end"/>
      </w:r>
      <w:r w:rsidRPr="00BE59B7">
        <w:rPr>
          <w:rFonts w:cs="Arial"/>
          <w:sz w:val="20"/>
        </w:rPr>
        <w:t>: Major food contributors to total dietary iodine intake (%) - Children 2-16 years</w:t>
      </w:r>
      <w:r w:rsidR="003E39E8" w:rsidRPr="00BE59B7">
        <w:rPr>
          <w:rFonts w:cs="Arial"/>
          <w:sz w:val="20"/>
          <w:vertAlign w:val="superscript"/>
        </w:rPr>
        <w:t xml:space="preserve"> </w:t>
      </w:r>
      <w:r w:rsidR="003E39E8" w:rsidRPr="00BE59B7">
        <w:rPr>
          <w:rFonts w:cs="Arial"/>
          <w:sz w:val="20"/>
        </w:rPr>
        <w:t>old</w:t>
      </w:r>
      <w:bookmarkEnd w:id="39"/>
    </w:p>
    <w:p w14:paraId="35FBD3B0" w14:textId="77777777" w:rsidR="006B57A7" w:rsidRPr="006B57A7" w:rsidRDefault="006B57A7" w:rsidP="006B57A7">
      <w:pPr>
        <w:spacing w:after="0" w:line="240" w:lineRule="auto"/>
        <w:rPr>
          <w:lang w:val="en-AU" w:eastAsia="en-AU"/>
        </w:rPr>
      </w:pPr>
    </w:p>
    <w:p w14:paraId="5D734B44" w14:textId="77777777" w:rsidR="009E496A" w:rsidRDefault="009E496A" w:rsidP="00CC5193">
      <w:pPr>
        <w:rPr>
          <w:rFonts w:ascii="Calibri" w:hAnsi="Calibri" w:cs="Arial"/>
          <w:color w:val="000000"/>
          <w:sz w:val="22"/>
        </w:rPr>
      </w:pPr>
      <w:r>
        <w:rPr>
          <w:rFonts w:ascii="Arial" w:hAnsi="Arial" w:cs="Arial"/>
          <w:sz w:val="22"/>
        </w:rPr>
        <w:t>T</w:t>
      </w:r>
      <w:r w:rsidRPr="00F27112">
        <w:rPr>
          <w:rFonts w:ascii="Arial" w:hAnsi="Arial" w:cs="Arial"/>
          <w:sz w:val="22"/>
        </w:rPr>
        <w:t xml:space="preserve">he </w:t>
      </w:r>
      <w:r w:rsidR="007B0911">
        <w:rPr>
          <w:rFonts w:ascii="Arial" w:hAnsi="Arial" w:cs="Arial"/>
          <w:sz w:val="22"/>
        </w:rPr>
        <w:t>major</w:t>
      </w:r>
      <w:r w:rsidRPr="00F27112">
        <w:rPr>
          <w:rFonts w:ascii="Arial" w:hAnsi="Arial" w:cs="Arial"/>
          <w:sz w:val="22"/>
        </w:rPr>
        <w:t xml:space="preserve"> food</w:t>
      </w:r>
      <w:r>
        <w:rPr>
          <w:rFonts w:ascii="Arial" w:hAnsi="Arial" w:cs="Arial"/>
          <w:sz w:val="22"/>
        </w:rPr>
        <w:t xml:space="preserve"> group that contributed to the</w:t>
      </w:r>
      <w:r w:rsidRPr="00F27112">
        <w:rPr>
          <w:rFonts w:ascii="Arial" w:hAnsi="Arial" w:cs="Arial"/>
          <w:sz w:val="22"/>
        </w:rPr>
        <w:t xml:space="preserve"> </w:t>
      </w:r>
      <w:r>
        <w:rPr>
          <w:rFonts w:ascii="Arial" w:hAnsi="Arial" w:cs="Arial"/>
          <w:sz w:val="22"/>
        </w:rPr>
        <w:t xml:space="preserve">dietary </w:t>
      </w:r>
      <w:r w:rsidRPr="00F27112">
        <w:rPr>
          <w:rFonts w:ascii="Arial" w:hAnsi="Arial" w:cs="Arial"/>
          <w:sz w:val="22"/>
        </w:rPr>
        <w:t>iodine intake</w:t>
      </w:r>
      <w:r>
        <w:rPr>
          <w:rFonts w:ascii="Arial" w:hAnsi="Arial" w:cs="Arial"/>
          <w:sz w:val="22"/>
        </w:rPr>
        <w:t xml:space="preserve"> </w:t>
      </w:r>
      <w:r w:rsidR="007B0911">
        <w:rPr>
          <w:rFonts w:ascii="Arial" w:hAnsi="Arial" w:cs="Arial"/>
          <w:sz w:val="22"/>
        </w:rPr>
        <w:t>of</w:t>
      </w:r>
      <w:r>
        <w:rPr>
          <w:rFonts w:ascii="Arial" w:hAnsi="Arial" w:cs="Arial"/>
          <w:sz w:val="22"/>
        </w:rPr>
        <w:t xml:space="preserve"> </w:t>
      </w:r>
      <w:r w:rsidR="007B0911">
        <w:rPr>
          <w:rFonts w:ascii="Arial" w:hAnsi="Arial" w:cs="Arial"/>
          <w:sz w:val="22"/>
        </w:rPr>
        <w:t xml:space="preserve">all Australian </w:t>
      </w:r>
      <w:r>
        <w:rPr>
          <w:rFonts w:ascii="Arial" w:hAnsi="Arial" w:cs="Arial"/>
          <w:sz w:val="22"/>
        </w:rPr>
        <w:t xml:space="preserve">children </w:t>
      </w:r>
      <w:r w:rsidR="006E0380">
        <w:rPr>
          <w:rFonts w:ascii="Arial" w:hAnsi="Arial" w:cs="Arial"/>
          <w:sz w:val="22"/>
        </w:rPr>
        <w:t xml:space="preserve">before fortification </w:t>
      </w:r>
      <w:r>
        <w:rPr>
          <w:rFonts w:ascii="Arial" w:hAnsi="Arial" w:cs="Arial"/>
          <w:sz w:val="22"/>
        </w:rPr>
        <w:t>was milk products and dishes</w:t>
      </w:r>
      <w:r w:rsidR="007B0911">
        <w:rPr>
          <w:rFonts w:ascii="Arial" w:hAnsi="Arial" w:cs="Arial"/>
          <w:sz w:val="22"/>
        </w:rPr>
        <w:t xml:space="preserve">. For children aged 2-3 years, it provided 70% of their iodine intake before iodine fortification of bread and decreased to 54% after fortification. Dietary iodine intake from this food group was 56% in all children aged 2-16 years and decreased to 40% following fortification. The post-fortification </w:t>
      </w:r>
      <w:r w:rsidR="00CB7306">
        <w:rPr>
          <w:rFonts w:ascii="Arial" w:hAnsi="Arial" w:cs="Arial"/>
          <w:sz w:val="22"/>
        </w:rPr>
        <w:t>change</w:t>
      </w:r>
      <w:r w:rsidR="007B0911">
        <w:rPr>
          <w:rFonts w:ascii="Arial" w:hAnsi="Arial" w:cs="Arial"/>
          <w:sz w:val="22"/>
        </w:rPr>
        <w:t xml:space="preserve"> in children’s </w:t>
      </w:r>
      <w:r w:rsidR="00CB7306">
        <w:rPr>
          <w:rFonts w:ascii="Arial" w:hAnsi="Arial" w:cs="Arial"/>
          <w:sz w:val="22"/>
        </w:rPr>
        <w:t xml:space="preserve">dietary </w:t>
      </w:r>
      <w:r w:rsidR="007B0911">
        <w:rPr>
          <w:rFonts w:ascii="Arial" w:hAnsi="Arial" w:cs="Arial"/>
          <w:sz w:val="22"/>
        </w:rPr>
        <w:t xml:space="preserve">iodine intake from milk products and dishes was made up for by </w:t>
      </w:r>
      <w:r w:rsidR="00CB7306">
        <w:rPr>
          <w:rFonts w:ascii="Arial" w:hAnsi="Arial" w:cs="Arial"/>
          <w:sz w:val="22"/>
        </w:rPr>
        <w:t xml:space="preserve">substantial </w:t>
      </w:r>
      <w:r w:rsidR="007B0911">
        <w:rPr>
          <w:rFonts w:ascii="Arial" w:hAnsi="Arial" w:cs="Arial"/>
          <w:sz w:val="22"/>
        </w:rPr>
        <w:t xml:space="preserve">increases in the </w:t>
      </w:r>
      <w:r w:rsidR="003B0CA1">
        <w:rPr>
          <w:rFonts w:ascii="Arial" w:hAnsi="Arial" w:cs="Arial"/>
          <w:sz w:val="22"/>
        </w:rPr>
        <w:t xml:space="preserve">percent </w:t>
      </w:r>
      <w:r w:rsidR="007B0911">
        <w:rPr>
          <w:rFonts w:ascii="Arial" w:hAnsi="Arial" w:cs="Arial"/>
          <w:sz w:val="22"/>
        </w:rPr>
        <w:t>contribution from</w:t>
      </w:r>
      <w:r w:rsidR="009153C0">
        <w:rPr>
          <w:rFonts w:ascii="Arial" w:hAnsi="Arial" w:cs="Arial"/>
          <w:sz w:val="22"/>
        </w:rPr>
        <w:t xml:space="preserve"> cereal and cereal products. </w:t>
      </w:r>
      <w:r w:rsidR="00CB7306">
        <w:rPr>
          <w:rFonts w:ascii="Arial" w:hAnsi="Arial" w:cs="Arial"/>
          <w:sz w:val="22"/>
        </w:rPr>
        <w:t>Following bread fortification, the percent contribution from cereal and cereal products to the total iodine intake for 2-3 year olds increased to</w:t>
      </w:r>
      <w:r w:rsidR="007B0911">
        <w:rPr>
          <w:rFonts w:ascii="Arial" w:hAnsi="Arial" w:cs="Arial"/>
          <w:sz w:val="22"/>
        </w:rPr>
        <w:t xml:space="preserve"> </w:t>
      </w:r>
      <w:r w:rsidR="00CB7306">
        <w:rPr>
          <w:rFonts w:ascii="Arial" w:hAnsi="Arial" w:cs="Arial"/>
          <w:sz w:val="22"/>
        </w:rPr>
        <w:t xml:space="preserve">25% from a pre-fortification level of 4%. For all children aged 2-16 years, the contribution increased </w:t>
      </w:r>
      <w:r w:rsidR="001E6D6A">
        <w:rPr>
          <w:rFonts w:ascii="Arial" w:hAnsi="Arial" w:cs="Arial"/>
          <w:sz w:val="22"/>
        </w:rPr>
        <w:t xml:space="preserve">to 29% from 6%. </w:t>
      </w:r>
    </w:p>
    <w:p w14:paraId="5D734B45" w14:textId="77777777" w:rsidR="000A087F" w:rsidRDefault="000A087F" w:rsidP="00CC5193">
      <w:pPr>
        <w:rPr>
          <w:rFonts w:ascii="Arial" w:eastAsia="Times New Roman" w:hAnsi="Arial" w:cs="Arial"/>
          <w:bCs/>
          <w:sz w:val="22"/>
          <w:lang w:val="en-AU" w:eastAsia="en-AU"/>
        </w:rPr>
      </w:pPr>
      <w:r w:rsidRPr="007776F9">
        <w:rPr>
          <w:rFonts w:ascii="Arial" w:hAnsi="Arial" w:cs="Arial"/>
          <w:color w:val="000000"/>
          <w:sz w:val="22"/>
        </w:rPr>
        <w:t xml:space="preserve">The </w:t>
      </w:r>
      <w:r>
        <w:rPr>
          <w:rFonts w:ascii="Arial" w:hAnsi="Arial" w:cs="Arial"/>
          <w:color w:val="000000"/>
          <w:sz w:val="22"/>
        </w:rPr>
        <w:t xml:space="preserve">percent </w:t>
      </w:r>
      <w:r w:rsidRPr="007776F9">
        <w:rPr>
          <w:rFonts w:ascii="Arial" w:hAnsi="Arial" w:cs="Arial"/>
          <w:color w:val="000000"/>
          <w:sz w:val="22"/>
        </w:rPr>
        <w:t xml:space="preserve">contribution made by </w:t>
      </w:r>
      <w:r>
        <w:rPr>
          <w:rFonts w:ascii="Arial" w:hAnsi="Arial" w:cs="Arial"/>
          <w:color w:val="000000"/>
          <w:sz w:val="22"/>
        </w:rPr>
        <w:t>the three main</w:t>
      </w:r>
      <w:r w:rsidRPr="007776F9">
        <w:rPr>
          <w:rFonts w:ascii="Arial" w:hAnsi="Arial" w:cs="Arial"/>
          <w:color w:val="000000"/>
          <w:sz w:val="22"/>
        </w:rPr>
        <w:t xml:space="preserve"> bread types</w:t>
      </w:r>
      <w:r>
        <w:rPr>
          <w:rFonts w:ascii="Arial" w:hAnsi="Arial" w:cs="Arial"/>
          <w:color w:val="000000"/>
          <w:sz w:val="22"/>
        </w:rPr>
        <w:t xml:space="preserve"> consumed by Australians (</w:t>
      </w:r>
      <w:r>
        <w:rPr>
          <w:rFonts w:ascii="Arial" w:eastAsia="Times New Roman" w:hAnsi="Arial" w:cs="Arial"/>
          <w:bCs/>
          <w:sz w:val="22"/>
          <w:lang w:val="en-AU" w:eastAsia="en-AU"/>
        </w:rPr>
        <w:t>w</w:t>
      </w:r>
      <w:r w:rsidRPr="007776F9">
        <w:rPr>
          <w:rFonts w:ascii="Arial" w:eastAsia="Times New Roman" w:hAnsi="Arial" w:cs="Arial"/>
          <w:bCs/>
          <w:sz w:val="22"/>
          <w:lang w:val="en-AU" w:eastAsia="en-AU"/>
        </w:rPr>
        <w:t xml:space="preserve">hite, wholemeal and multigrain </w:t>
      </w:r>
      <w:r>
        <w:rPr>
          <w:rFonts w:ascii="Arial" w:eastAsia="Times New Roman" w:hAnsi="Arial" w:cs="Arial"/>
          <w:bCs/>
          <w:sz w:val="22"/>
          <w:lang w:val="en-AU" w:eastAsia="en-AU"/>
        </w:rPr>
        <w:t>with</w:t>
      </w:r>
      <w:r w:rsidRPr="007776F9">
        <w:rPr>
          <w:rFonts w:ascii="Arial" w:eastAsia="Times New Roman" w:hAnsi="Arial" w:cs="Arial"/>
          <w:bCs/>
          <w:sz w:val="22"/>
          <w:lang w:val="en-AU" w:eastAsia="en-AU"/>
        </w:rPr>
        <w:t xml:space="preserve"> seeds</w:t>
      </w:r>
      <w:r>
        <w:rPr>
          <w:rFonts w:ascii="Arial" w:eastAsia="Times New Roman" w:hAnsi="Arial" w:cs="Arial"/>
          <w:bCs/>
          <w:sz w:val="22"/>
          <w:lang w:val="en-AU" w:eastAsia="en-AU"/>
        </w:rPr>
        <w:t>)</w:t>
      </w:r>
      <w:r w:rsidRPr="007776F9">
        <w:rPr>
          <w:rFonts w:ascii="Arial" w:eastAsia="Times New Roman" w:hAnsi="Arial" w:cs="Arial"/>
          <w:bCs/>
          <w:sz w:val="22"/>
          <w:lang w:val="en-AU" w:eastAsia="en-AU"/>
        </w:rPr>
        <w:t xml:space="preserve"> </w:t>
      </w:r>
      <w:r w:rsidRPr="007776F9">
        <w:rPr>
          <w:rFonts w:ascii="Arial" w:hAnsi="Arial" w:cs="Arial"/>
          <w:color w:val="000000"/>
          <w:sz w:val="22"/>
        </w:rPr>
        <w:t>to the iodine</w:t>
      </w:r>
      <w:r w:rsidRPr="007776F9">
        <w:rPr>
          <w:rFonts w:ascii="Arial" w:eastAsia="Times New Roman" w:hAnsi="Arial" w:cs="Arial"/>
          <w:bCs/>
          <w:sz w:val="22"/>
          <w:lang w:val="en-AU" w:eastAsia="en-AU"/>
        </w:rPr>
        <w:t xml:space="preserve"> intake of </w:t>
      </w:r>
      <w:r>
        <w:rPr>
          <w:rFonts w:ascii="Arial" w:eastAsia="Times New Roman" w:hAnsi="Arial" w:cs="Arial"/>
          <w:bCs/>
          <w:sz w:val="22"/>
          <w:lang w:val="en-AU" w:eastAsia="en-AU"/>
        </w:rPr>
        <w:t xml:space="preserve">children aged 2-3 years and </w:t>
      </w:r>
      <w:r w:rsidRPr="007776F9">
        <w:rPr>
          <w:rFonts w:ascii="Arial" w:eastAsia="Times New Roman" w:hAnsi="Arial" w:cs="Arial"/>
          <w:bCs/>
          <w:sz w:val="22"/>
          <w:lang w:val="en-AU" w:eastAsia="en-AU"/>
        </w:rPr>
        <w:t xml:space="preserve">2- 16 years are shown in </w:t>
      </w:r>
      <w:r w:rsidRPr="0019028A">
        <w:rPr>
          <w:rFonts w:ascii="Arial" w:eastAsia="Times New Roman" w:hAnsi="Arial" w:cs="Arial"/>
          <w:bCs/>
          <w:color w:val="000000" w:themeColor="text1"/>
          <w:sz w:val="22"/>
          <w:lang w:val="en-AU" w:eastAsia="en-AU"/>
        </w:rPr>
        <w:t xml:space="preserve">Figures </w:t>
      </w:r>
      <w:r w:rsidR="009015C1">
        <w:rPr>
          <w:rFonts w:ascii="Arial" w:eastAsia="Times New Roman" w:hAnsi="Arial" w:cs="Arial"/>
          <w:bCs/>
          <w:color w:val="000000" w:themeColor="text1"/>
          <w:sz w:val="22"/>
          <w:lang w:val="en-AU" w:eastAsia="en-AU"/>
        </w:rPr>
        <w:t>7</w:t>
      </w:r>
      <w:r w:rsidRPr="0019028A">
        <w:rPr>
          <w:rFonts w:ascii="Arial" w:eastAsia="Times New Roman" w:hAnsi="Arial" w:cs="Arial"/>
          <w:bCs/>
          <w:color w:val="000000" w:themeColor="text1"/>
          <w:sz w:val="22"/>
          <w:lang w:val="en-AU" w:eastAsia="en-AU"/>
        </w:rPr>
        <w:t xml:space="preserve"> and </w:t>
      </w:r>
      <w:r w:rsidR="009015C1">
        <w:rPr>
          <w:rFonts w:ascii="Arial" w:eastAsia="Times New Roman" w:hAnsi="Arial" w:cs="Arial"/>
          <w:bCs/>
          <w:color w:val="000000" w:themeColor="text1"/>
          <w:sz w:val="22"/>
          <w:lang w:val="en-AU" w:eastAsia="en-AU"/>
        </w:rPr>
        <w:t>8</w:t>
      </w:r>
      <w:r w:rsidRPr="007776F9">
        <w:rPr>
          <w:rFonts w:ascii="Arial" w:eastAsia="Times New Roman" w:hAnsi="Arial" w:cs="Arial"/>
          <w:bCs/>
          <w:sz w:val="22"/>
          <w:lang w:val="en-AU" w:eastAsia="en-AU"/>
        </w:rPr>
        <w:t xml:space="preserve">. The percentage contributed by wholemeal and multigrain &amp; seeds breads increased after iodine fortification of bread compared to the pre-fortification period. The proportional increase from </w:t>
      </w:r>
      <w:r>
        <w:rPr>
          <w:rFonts w:ascii="Arial" w:eastAsia="Times New Roman" w:hAnsi="Arial" w:cs="Arial"/>
          <w:bCs/>
          <w:sz w:val="22"/>
          <w:lang w:val="en-AU" w:eastAsia="en-AU"/>
        </w:rPr>
        <w:t>multigrain with seeds bread</w:t>
      </w:r>
      <w:r w:rsidRPr="007776F9">
        <w:rPr>
          <w:rFonts w:ascii="Arial" w:eastAsia="Times New Roman" w:hAnsi="Arial" w:cs="Arial"/>
          <w:bCs/>
          <w:sz w:val="22"/>
          <w:lang w:val="en-AU" w:eastAsia="en-AU"/>
        </w:rPr>
        <w:t xml:space="preserve"> </w:t>
      </w:r>
      <w:r>
        <w:rPr>
          <w:rFonts w:ascii="Arial" w:eastAsia="Times New Roman" w:hAnsi="Arial" w:cs="Arial"/>
          <w:bCs/>
          <w:sz w:val="22"/>
          <w:lang w:val="en-AU" w:eastAsia="en-AU"/>
        </w:rPr>
        <w:t xml:space="preserve">in particular </w:t>
      </w:r>
      <w:r w:rsidRPr="007776F9">
        <w:rPr>
          <w:rFonts w:ascii="Arial" w:eastAsia="Times New Roman" w:hAnsi="Arial" w:cs="Arial"/>
          <w:bCs/>
          <w:sz w:val="22"/>
          <w:lang w:val="en-AU" w:eastAsia="en-AU"/>
        </w:rPr>
        <w:t xml:space="preserve">was from </w:t>
      </w:r>
      <w:r>
        <w:rPr>
          <w:rFonts w:ascii="Arial" w:eastAsia="Times New Roman" w:hAnsi="Arial" w:cs="Arial"/>
          <w:bCs/>
          <w:sz w:val="22"/>
          <w:lang w:val="en-AU" w:eastAsia="en-AU"/>
        </w:rPr>
        <w:t>10</w:t>
      </w:r>
      <w:r w:rsidRPr="007776F9">
        <w:rPr>
          <w:rFonts w:ascii="Arial" w:eastAsia="Times New Roman" w:hAnsi="Arial" w:cs="Arial"/>
          <w:bCs/>
          <w:sz w:val="22"/>
          <w:lang w:val="en-AU" w:eastAsia="en-AU"/>
        </w:rPr>
        <w:t xml:space="preserve">% to </w:t>
      </w:r>
      <w:r>
        <w:rPr>
          <w:rFonts w:ascii="Arial" w:eastAsia="Times New Roman" w:hAnsi="Arial" w:cs="Arial"/>
          <w:bCs/>
          <w:sz w:val="22"/>
          <w:lang w:val="en-AU" w:eastAsia="en-AU"/>
        </w:rPr>
        <w:t>17</w:t>
      </w:r>
      <w:r w:rsidRPr="007776F9">
        <w:rPr>
          <w:rFonts w:ascii="Arial" w:eastAsia="Times New Roman" w:hAnsi="Arial" w:cs="Arial"/>
          <w:bCs/>
          <w:sz w:val="22"/>
          <w:lang w:val="en-AU" w:eastAsia="en-AU"/>
        </w:rPr>
        <w:t xml:space="preserve">% (2-3 year olds) and 6% to </w:t>
      </w:r>
      <w:r>
        <w:rPr>
          <w:rFonts w:ascii="Arial" w:eastAsia="Times New Roman" w:hAnsi="Arial" w:cs="Arial"/>
          <w:bCs/>
          <w:sz w:val="22"/>
          <w:lang w:val="en-AU" w:eastAsia="en-AU"/>
        </w:rPr>
        <w:t>12% (2-16 year olds).</w:t>
      </w:r>
    </w:p>
    <w:p w14:paraId="5D734B46" w14:textId="77777777" w:rsidR="005D7E59" w:rsidRPr="00F27112" w:rsidRDefault="00363D0B" w:rsidP="00CC5193">
      <w:pPr>
        <w:rPr>
          <w:rFonts w:ascii="Arial" w:eastAsia="Times New Roman" w:hAnsi="Arial" w:cs="Arial"/>
          <w:bCs/>
          <w:sz w:val="22"/>
          <w:lang w:val="en-AU" w:eastAsia="en-AU"/>
        </w:rPr>
      </w:pPr>
      <w:r>
        <w:rPr>
          <w:rFonts w:ascii="Arial" w:eastAsia="Times New Roman" w:hAnsi="Arial" w:cs="Arial"/>
          <w:bCs/>
          <w:sz w:val="22"/>
          <w:lang w:val="en-AU" w:eastAsia="en-AU"/>
        </w:rPr>
        <w:t xml:space="preserve">The noted decrease in the post-fortification contribution of white bread to iodine intake </w:t>
      </w:r>
      <w:r w:rsidR="00AE305B">
        <w:rPr>
          <w:rFonts w:ascii="Arial" w:eastAsia="Times New Roman" w:hAnsi="Arial" w:cs="Arial"/>
          <w:bCs/>
          <w:sz w:val="22"/>
          <w:lang w:val="en-AU" w:eastAsia="en-AU"/>
        </w:rPr>
        <w:t>relative to</w:t>
      </w:r>
      <w:r>
        <w:rPr>
          <w:rFonts w:ascii="Arial" w:eastAsia="Times New Roman" w:hAnsi="Arial" w:cs="Arial"/>
          <w:bCs/>
          <w:sz w:val="22"/>
          <w:lang w:val="en-AU" w:eastAsia="en-AU"/>
        </w:rPr>
        <w:t xml:space="preserve"> the contribution from wholemeal an</w:t>
      </w:r>
      <w:r w:rsidR="00AE305B">
        <w:rPr>
          <w:rFonts w:ascii="Arial" w:eastAsia="Times New Roman" w:hAnsi="Arial" w:cs="Arial"/>
          <w:bCs/>
          <w:sz w:val="22"/>
          <w:lang w:val="en-AU" w:eastAsia="en-AU"/>
        </w:rPr>
        <w:t>d multigrain and seeds breads</w:t>
      </w:r>
      <w:r>
        <w:rPr>
          <w:rFonts w:ascii="Arial" w:eastAsia="Times New Roman" w:hAnsi="Arial" w:cs="Arial"/>
          <w:bCs/>
          <w:sz w:val="22"/>
          <w:lang w:val="en-AU" w:eastAsia="en-AU"/>
        </w:rPr>
        <w:t xml:space="preserve"> could be related to preventative health programs promoting the importance of increas</w:t>
      </w:r>
      <w:r w:rsidR="00A56A68">
        <w:rPr>
          <w:rFonts w:ascii="Arial" w:eastAsia="Times New Roman" w:hAnsi="Arial" w:cs="Arial"/>
          <w:bCs/>
          <w:sz w:val="22"/>
          <w:lang w:val="en-AU" w:eastAsia="en-AU"/>
        </w:rPr>
        <w:t>ed dietary fibre intake in the diet.</w:t>
      </w:r>
      <w:r>
        <w:rPr>
          <w:rFonts w:ascii="Arial" w:eastAsia="Times New Roman" w:hAnsi="Arial" w:cs="Arial"/>
          <w:bCs/>
          <w:sz w:val="22"/>
          <w:lang w:val="en-AU" w:eastAsia="en-AU"/>
        </w:rPr>
        <w:t xml:space="preserve"> </w:t>
      </w:r>
      <w:r w:rsidR="00AE305B">
        <w:rPr>
          <w:rFonts w:ascii="Arial" w:eastAsia="Times New Roman" w:hAnsi="Arial" w:cs="Arial"/>
          <w:bCs/>
          <w:sz w:val="22"/>
          <w:lang w:val="en-AU" w:eastAsia="en-AU"/>
        </w:rPr>
        <w:t xml:space="preserve">This could have been transferred to the type of bread </w:t>
      </w:r>
      <w:r w:rsidR="00387883">
        <w:rPr>
          <w:rFonts w:ascii="Arial" w:eastAsia="Times New Roman" w:hAnsi="Arial" w:cs="Arial"/>
          <w:bCs/>
          <w:sz w:val="22"/>
          <w:lang w:val="en-AU" w:eastAsia="en-AU"/>
        </w:rPr>
        <w:t>selected for consumption.</w:t>
      </w:r>
    </w:p>
    <w:p w14:paraId="5D734B47" w14:textId="77777777" w:rsidR="00CD1B15" w:rsidRPr="00E51250" w:rsidRDefault="00DC7A22" w:rsidP="00CC5193">
      <w:pPr>
        <w:rPr>
          <w:rFonts w:ascii="Arial" w:hAnsi="Arial" w:cs="Arial"/>
          <w:sz w:val="22"/>
        </w:rPr>
      </w:pPr>
      <w:r w:rsidRPr="00E51250">
        <w:rPr>
          <w:noProof/>
          <w:lang w:eastAsia="en-GB"/>
        </w:rPr>
        <w:lastRenderedPageBreak/>
        <w:drawing>
          <wp:inline distT="0" distB="0" distL="0" distR="0" wp14:anchorId="5D734D71" wp14:editId="1536F11D">
            <wp:extent cx="5715000" cy="3467100"/>
            <wp:effectExtent l="0" t="0" r="0" b="0"/>
            <wp:docPr id="27" name="Picture 27" title="Figure 7: Contribution of different bread types to iodine intake from breads (%) – Australian children 2-3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5D734B48" w14:textId="77777777" w:rsidR="00CD1B15" w:rsidRPr="00E51250" w:rsidRDefault="00DC7A22" w:rsidP="00CC5193">
      <w:pPr>
        <w:pStyle w:val="Caption"/>
        <w:spacing w:after="200" w:line="276" w:lineRule="auto"/>
        <w:rPr>
          <w:rFonts w:cs="Arial"/>
          <w:sz w:val="20"/>
        </w:rPr>
      </w:pPr>
      <w:bookmarkStart w:id="40" w:name="_Toc430854553"/>
      <w:r w:rsidRPr="00E51250">
        <w:rPr>
          <w:sz w:val="20"/>
        </w:rPr>
        <w:t xml:space="preserve">Figure </w:t>
      </w:r>
      <w:r w:rsidRPr="00E51250">
        <w:rPr>
          <w:sz w:val="20"/>
        </w:rPr>
        <w:fldChar w:fldCharType="begin"/>
      </w:r>
      <w:r w:rsidRPr="00E51250">
        <w:rPr>
          <w:sz w:val="20"/>
        </w:rPr>
        <w:instrText xml:space="preserve"> SEQ Figure \* ARABIC </w:instrText>
      </w:r>
      <w:r w:rsidRPr="00E51250">
        <w:rPr>
          <w:sz w:val="20"/>
        </w:rPr>
        <w:fldChar w:fldCharType="separate"/>
      </w:r>
      <w:r w:rsidR="00A41217">
        <w:rPr>
          <w:noProof/>
          <w:sz w:val="20"/>
        </w:rPr>
        <w:t>7</w:t>
      </w:r>
      <w:r w:rsidRPr="00E51250">
        <w:rPr>
          <w:sz w:val="20"/>
        </w:rPr>
        <w:fldChar w:fldCharType="end"/>
      </w:r>
      <w:r w:rsidRPr="00E51250">
        <w:rPr>
          <w:sz w:val="20"/>
        </w:rPr>
        <w:t>: Contribution of different bread types to iodine intake from breads</w:t>
      </w:r>
      <w:r w:rsidR="003E39E8" w:rsidRPr="00E51250">
        <w:rPr>
          <w:sz w:val="20"/>
        </w:rPr>
        <w:t xml:space="preserve"> (%)</w:t>
      </w:r>
      <w:r w:rsidRPr="00E51250">
        <w:rPr>
          <w:sz w:val="20"/>
        </w:rPr>
        <w:t xml:space="preserve"> </w:t>
      </w:r>
      <w:r w:rsidR="003E39E8" w:rsidRPr="00E51250">
        <w:rPr>
          <w:sz w:val="20"/>
        </w:rPr>
        <w:t>–</w:t>
      </w:r>
      <w:r w:rsidRPr="00E51250">
        <w:rPr>
          <w:sz w:val="20"/>
        </w:rPr>
        <w:t xml:space="preserve"> </w:t>
      </w:r>
      <w:r w:rsidR="003E39E8" w:rsidRPr="00E51250">
        <w:rPr>
          <w:sz w:val="20"/>
        </w:rPr>
        <w:t>Australian c</w:t>
      </w:r>
      <w:r w:rsidRPr="00E51250">
        <w:rPr>
          <w:sz w:val="20"/>
        </w:rPr>
        <w:t>hildren 2-3 years</w:t>
      </w:r>
      <w:r w:rsidR="003E39E8" w:rsidRPr="00E51250">
        <w:rPr>
          <w:sz w:val="20"/>
        </w:rPr>
        <w:t xml:space="preserve"> old</w:t>
      </w:r>
      <w:bookmarkEnd w:id="40"/>
    </w:p>
    <w:p w14:paraId="5D734B49" w14:textId="77777777" w:rsidR="00CD1B15" w:rsidRPr="00E51250" w:rsidRDefault="00CD1B15" w:rsidP="00CC5193">
      <w:pPr>
        <w:rPr>
          <w:rFonts w:ascii="Arial" w:hAnsi="Arial" w:cs="Arial"/>
          <w:sz w:val="22"/>
        </w:rPr>
      </w:pPr>
    </w:p>
    <w:p w14:paraId="5D734B4A" w14:textId="77777777" w:rsidR="00CD1B15" w:rsidRPr="00E51250" w:rsidRDefault="00DC7A22" w:rsidP="00CC5193">
      <w:pPr>
        <w:rPr>
          <w:rFonts w:ascii="Arial" w:hAnsi="Arial" w:cs="Arial"/>
          <w:sz w:val="22"/>
        </w:rPr>
      </w:pPr>
      <w:r w:rsidRPr="00E51250">
        <w:rPr>
          <w:noProof/>
          <w:lang w:eastAsia="en-GB"/>
        </w:rPr>
        <w:drawing>
          <wp:inline distT="0" distB="0" distL="0" distR="0" wp14:anchorId="5D734D73" wp14:editId="7E702142">
            <wp:extent cx="5760720" cy="2857500"/>
            <wp:effectExtent l="0" t="0" r="0" b="0"/>
            <wp:docPr id="26" name="Picture 26" title="Figure 8: Contribution of different bread types to iodine intake from breads (%) – Australians 2 16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2856870"/>
                    </a:xfrm>
                    <a:prstGeom prst="rect">
                      <a:avLst/>
                    </a:prstGeom>
                    <a:noFill/>
                    <a:ln>
                      <a:noFill/>
                    </a:ln>
                  </pic:spPr>
                </pic:pic>
              </a:graphicData>
            </a:graphic>
          </wp:inline>
        </w:drawing>
      </w:r>
    </w:p>
    <w:p w14:paraId="5D734B4B" w14:textId="77777777" w:rsidR="00CD1B15" w:rsidRPr="00633FCF" w:rsidRDefault="00DC7A22" w:rsidP="00633FCF">
      <w:pPr>
        <w:pStyle w:val="Caption"/>
        <w:spacing w:line="276" w:lineRule="auto"/>
        <w:rPr>
          <w:sz w:val="20"/>
        </w:rPr>
      </w:pPr>
      <w:bookmarkStart w:id="41" w:name="_Toc430854554"/>
      <w:r w:rsidRPr="00DC7A22">
        <w:rPr>
          <w:sz w:val="20"/>
        </w:rPr>
        <w:t xml:space="preserve">Figure </w:t>
      </w:r>
      <w:r w:rsidRPr="00DC7A22">
        <w:rPr>
          <w:sz w:val="20"/>
        </w:rPr>
        <w:fldChar w:fldCharType="begin"/>
      </w:r>
      <w:r w:rsidRPr="00DC7A22">
        <w:rPr>
          <w:sz w:val="20"/>
        </w:rPr>
        <w:instrText xml:space="preserve"> SEQ Figure \* ARABIC </w:instrText>
      </w:r>
      <w:r w:rsidRPr="00DC7A22">
        <w:rPr>
          <w:sz w:val="20"/>
        </w:rPr>
        <w:fldChar w:fldCharType="separate"/>
      </w:r>
      <w:r w:rsidR="00A41217">
        <w:rPr>
          <w:noProof/>
          <w:sz w:val="20"/>
        </w:rPr>
        <w:t>8</w:t>
      </w:r>
      <w:r w:rsidRPr="00DC7A22">
        <w:rPr>
          <w:sz w:val="20"/>
        </w:rPr>
        <w:fldChar w:fldCharType="end"/>
      </w:r>
      <w:r w:rsidRPr="00DC7A22">
        <w:rPr>
          <w:sz w:val="20"/>
        </w:rPr>
        <w:t>: Contribution of different bread types to iodine intake from breads</w:t>
      </w:r>
      <w:r w:rsidR="003E39E8">
        <w:rPr>
          <w:sz w:val="20"/>
        </w:rPr>
        <w:t xml:space="preserve"> (%)</w:t>
      </w:r>
      <w:r w:rsidR="00AB77A3">
        <w:rPr>
          <w:sz w:val="20"/>
        </w:rPr>
        <w:t xml:space="preserve"> </w:t>
      </w:r>
      <w:r w:rsidR="003E39E8">
        <w:rPr>
          <w:sz w:val="20"/>
        </w:rPr>
        <w:t>–</w:t>
      </w:r>
      <w:r w:rsidR="00AB77A3">
        <w:rPr>
          <w:sz w:val="20"/>
        </w:rPr>
        <w:t xml:space="preserve"> </w:t>
      </w:r>
      <w:r w:rsidR="003E39E8">
        <w:rPr>
          <w:sz w:val="20"/>
        </w:rPr>
        <w:t>Australians</w:t>
      </w:r>
      <w:r w:rsidR="00633FCF">
        <w:rPr>
          <w:sz w:val="20"/>
        </w:rPr>
        <w:t xml:space="preserve"> </w:t>
      </w:r>
      <w:r w:rsidRPr="00DC7A22">
        <w:rPr>
          <w:sz w:val="20"/>
        </w:rPr>
        <w:t>2</w:t>
      </w:r>
      <w:r w:rsidR="00AB77A3">
        <w:rPr>
          <w:sz w:val="20"/>
        </w:rPr>
        <w:noBreakHyphen/>
      </w:r>
      <w:r w:rsidRPr="00DC7A22">
        <w:rPr>
          <w:sz w:val="20"/>
        </w:rPr>
        <w:t>16 years</w:t>
      </w:r>
      <w:r w:rsidR="003E39E8">
        <w:rPr>
          <w:sz w:val="20"/>
        </w:rPr>
        <w:t xml:space="preserve"> old</w:t>
      </w:r>
      <w:bookmarkEnd w:id="41"/>
    </w:p>
    <w:p w14:paraId="5D734B4C" w14:textId="77777777" w:rsidR="00CD1B15" w:rsidRPr="00130479" w:rsidRDefault="00CD1B15" w:rsidP="00CC5193">
      <w:pPr>
        <w:rPr>
          <w:rFonts w:ascii="Arial" w:hAnsi="Arial" w:cs="Arial"/>
          <w:sz w:val="22"/>
        </w:rPr>
      </w:pPr>
    </w:p>
    <w:p w14:paraId="5D734B4D" w14:textId="6740E0D9" w:rsidR="00CD1B15" w:rsidRPr="002D3946" w:rsidRDefault="00130479" w:rsidP="00D43F2C">
      <w:pPr>
        <w:pStyle w:val="Heading2"/>
      </w:pPr>
      <w:bookmarkStart w:id="42" w:name="_Toc430854517"/>
      <w:r w:rsidRPr="002D3946">
        <w:lastRenderedPageBreak/>
        <w:t>7.2</w:t>
      </w:r>
      <w:r w:rsidRPr="002D3946">
        <w:tab/>
      </w:r>
      <w:r w:rsidR="002D3946" w:rsidRPr="002D3946">
        <w:t>F</w:t>
      </w:r>
      <w:r w:rsidRPr="002D3946">
        <w:t>ood contributors to dietary iodine intake of Australian</w:t>
      </w:r>
      <w:r w:rsidR="0094160F">
        <w:t>s</w:t>
      </w:r>
      <w:r w:rsidRPr="002D3946">
        <w:t xml:space="preserve"> aged 17 years and above including </w:t>
      </w:r>
      <w:r w:rsidR="00F343F7">
        <w:t>females</w:t>
      </w:r>
      <w:r w:rsidRPr="002D3946">
        <w:t xml:space="preserve"> of child-bearing age</w:t>
      </w:r>
      <w:bookmarkEnd w:id="42"/>
    </w:p>
    <w:p w14:paraId="5D734B4E" w14:textId="391DFEF8" w:rsidR="00C20FC8" w:rsidRPr="00C31E76" w:rsidRDefault="00D81943" w:rsidP="00CC5193">
      <w:pPr>
        <w:tabs>
          <w:tab w:val="clear" w:pos="567"/>
        </w:tabs>
        <w:rPr>
          <w:rFonts w:ascii="Arial" w:hAnsi="Arial" w:cs="Arial"/>
          <w:sz w:val="22"/>
        </w:rPr>
      </w:pPr>
      <w:r>
        <w:rPr>
          <w:rFonts w:ascii="Arial" w:hAnsi="Arial" w:cs="Arial"/>
          <w:sz w:val="22"/>
        </w:rPr>
        <w:t>Since the adult diet is more varied than that of children, it was expected that th</w:t>
      </w:r>
      <w:r w:rsidR="00E62BD4">
        <w:rPr>
          <w:rFonts w:ascii="Arial" w:hAnsi="Arial" w:cs="Arial"/>
          <w:sz w:val="22"/>
        </w:rPr>
        <w:t xml:space="preserve">ere </w:t>
      </w:r>
      <w:r>
        <w:rPr>
          <w:rFonts w:ascii="Arial" w:hAnsi="Arial" w:cs="Arial"/>
          <w:sz w:val="22"/>
        </w:rPr>
        <w:t xml:space="preserve">would be </w:t>
      </w:r>
      <w:r w:rsidR="00E62BD4">
        <w:rPr>
          <w:rFonts w:ascii="Arial" w:hAnsi="Arial" w:cs="Arial"/>
          <w:sz w:val="22"/>
        </w:rPr>
        <w:t>more</w:t>
      </w:r>
      <w:r w:rsidR="00C20FC8" w:rsidRPr="00C20FC8">
        <w:rPr>
          <w:rFonts w:ascii="Arial" w:hAnsi="Arial" w:cs="Arial"/>
          <w:sz w:val="22"/>
        </w:rPr>
        <w:t xml:space="preserve"> food groups </w:t>
      </w:r>
      <w:r w:rsidR="00E62BD4">
        <w:rPr>
          <w:rFonts w:ascii="Arial" w:hAnsi="Arial" w:cs="Arial"/>
          <w:sz w:val="22"/>
        </w:rPr>
        <w:t>contributing 5% and above</w:t>
      </w:r>
      <w:r w:rsidR="00C20FC8" w:rsidRPr="00C20FC8">
        <w:rPr>
          <w:rFonts w:ascii="Arial" w:hAnsi="Arial" w:cs="Arial"/>
          <w:sz w:val="22"/>
        </w:rPr>
        <w:t xml:space="preserve"> to the </w:t>
      </w:r>
      <w:r w:rsidR="00E62BD4">
        <w:rPr>
          <w:rFonts w:ascii="Arial" w:hAnsi="Arial" w:cs="Arial"/>
          <w:sz w:val="22"/>
        </w:rPr>
        <w:t>estimated</w:t>
      </w:r>
      <w:r w:rsidR="00C20FC8" w:rsidRPr="00C20FC8">
        <w:rPr>
          <w:rFonts w:ascii="Arial" w:hAnsi="Arial" w:cs="Arial"/>
          <w:sz w:val="22"/>
        </w:rPr>
        <w:t xml:space="preserve"> dietary iodine intake of </w:t>
      </w:r>
      <w:r>
        <w:rPr>
          <w:rFonts w:ascii="Arial" w:hAnsi="Arial" w:cs="Arial"/>
          <w:sz w:val="22"/>
        </w:rPr>
        <w:t xml:space="preserve">adult </w:t>
      </w:r>
      <w:r w:rsidR="00C20FC8" w:rsidRPr="00C20FC8">
        <w:rPr>
          <w:rFonts w:ascii="Arial" w:hAnsi="Arial" w:cs="Arial"/>
          <w:sz w:val="22"/>
        </w:rPr>
        <w:t>Australians</w:t>
      </w:r>
      <w:r w:rsidRPr="00D81943">
        <w:rPr>
          <w:rFonts w:ascii="Arial" w:hAnsi="Arial" w:cs="Arial"/>
          <w:sz w:val="22"/>
        </w:rPr>
        <w:t xml:space="preserve"> </w:t>
      </w:r>
      <w:r w:rsidRPr="00C20FC8">
        <w:rPr>
          <w:rFonts w:ascii="Arial" w:hAnsi="Arial" w:cs="Arial"/>
          <w:sz w:val="22"/>
        </w:rPr>
        <w:t>before and after iodine fortification</w:t>
      </w:r>
      <w:r>
        <w:rPr>
          <w:rFonts w:ascii="Arial" w:hAnsi="Arial" w:cs="Arial"/>
          <w:sz w:val="22"/>
        </w:rPr>
        <w:t xml:space="preserve"> of bread.</w:t>
      </w:r>
      <w:r w:rsidR="00C20FC8" w:rsidRPr="00C20FC8">
        <w:rPr>
          <w:rFonts w:ascii="Arial" w:hAnsi="Arial" w:cs="Arial"/>
          <w:sz w:val="22"/>
        </w:rPr>
        <w:t xml:space="preserve"> </w:t>
      </w:r>
      <w:r>
        <w:rPr>
          <w:rFonts w:ascii="Arial" w:hAnsi="Arial" w:cs="Arial"/>
          <w:sz w:val="22"/>
        </w:rPr>
        <w:t xml:space="preserve">However, the results for Australians </w:t>
      </w:r>
      <w:r w:rsidRPr="00C20FC8">
        <w:rPr>
          <w:rFonts w:ascii="Arial" w:hAnsi="Arial" w:cs="Arial"/>
          <w:sz w:val="22"/>
        </w:rPr>
        <w:t xml:space="preserve">aged 17 years and above, including </w:t>
      </w:r>
      <w:r>
        <w:rPr>
          <w:rFonts w:ascii="Arial" w:hAnsi="Arial" w:cs="Arial"/>
          <w:sz w:val="22"/>
        </w:rPr>
        <w:t>females</w:t>
      </w:r>
      <w:r w:rsidRPr="00C20FC8">
        <w:rPr>
          <w:rFonts w:ascii="Arial" w:hAnsi="Arial" w:cs="Arial"/>
          <w:sz w:val="22"/>
        </w:rPr>
        <w:t xml:space="preserve"> </w:t>
      </w:r>
      <w:r>
        <w:rPr>
          <w:rFonts w:ascii="Arial" w:hAnsi="Arial" w:cs="Arial"/>
          <w:sz w:val="22"/>
        </w:rPr>
        <w:t xml:space="preserve">aged </w:t>
      </w:r>
      <w:r w:rsidRPr="00C20FC8">
        <w:rPr>
          <w:rFonts w:ascii="Arial" w:hAnsi="Arial" w:cs="Arial"/>
          <w:sz w:val="22"/>
        </w:rPr>
        <w:t>16-44 years</w:t>
      </w:r>
      <w:r>
        <w:rPr>
          <w:rFonts w:ascii="Arial" w:hAnsi="Arial" w:cs="Arial"/>
          <w:sz w:val="22"/>
        </w:rPr>
        <w:t xml:space="preserve"> (</w:t>
      </w:r>
      <w:r w:rsidRPr="00C20FC8">
        <w:rPr>
          <w:rFonts w:ascii="Arial" w:hAnsi="Arial" w:cs="Arial"/>
          <w:sz w:val="22"/>
        </w:rPr>
        <w:t xml:space="preserve">target </w:t>
      </w:r>
      <w:r>
        <w:rPr>
          <w:rFonts w:ascii="Arial" w:hAnsi="Arial" w:cs="Arial"/>
          <w:sz w:val="22"/>
        </w:rPr>
        <w:t xml:space="preserve">population of </w:t>
      </w:r>
      <w:r w:rsidR="00F343F7">
        <w:rPr>
          <w:rFonts w:ascii="Arial" w:hAnsi="Arial" w:cs="Arial"/>
          <w:sz w:val="22"/>
        </w:rPr>
        <w:t>females</w:t>
      </w:r>
      <w:r>
        <w:rPr>
          <w:rFonts w:ascii="Arial" w:hAnsi="Arial" w:cs="Arial"/>
          <w:sz w:val="22"/>
        </w:rPr>
        <w:t xml:space="preserve"> of child-bearing age</w:t>
      </w:r>
      <w:r w:rsidRPr="00C20FC8">
        <w:rPr>
          <w:rFonts w:ascii="Arial" w:hAnsi="Arial" w:cs="Arial"/>
          <w:sz w:val="22"/>
        </w:rPr>
        <w:t>)</w:t>
      </w:r>
      <w:r>
        <w:rPr>
          <w:rFonts w:ascii="Arial" w:hAnsi="Arial" w:cs="Arial"/>
          <w:sz w:val="22"/>
        </w:rPr>
        <w:t xml:space="preserve">, showed close similarities to that of children. Except for fish and seafood products and dishes food group, the other major food contributors to dietary iodine intake </w:t>
      </w:r>
      <w:r w:rsidR="00C20FC8" w:rsidRPr="00C20FC8">
        <w:rPr>
          <w:rFonts w:ascii="Arial" w:hAnsi="Arial" w:cs="Arial"/>
          <w:sz w:val="22"/>
        </w:rPr>
        <w:t xml:space="preserve">were: </w:t>
      </w:r>
      <w:r w:rsidR="00C20FC8" w:rsidRPr="00C31E76">
        <w:rPr>
          <w:rFonts w:ascii="Arial" w:hAnsi="Arial" w:cs="Arial"/>
          <w:sz w:val="22"/>
        </w:rPr>
        <w:t>Milk products and dishes</w:t>
      </w:r>
      <w:r w:rsidR="00C31E76">
        <w:rPr>
          <w:rFonts w:ascii="Arial" w:hAnsi="Arial" w:cs="Arial"/>
          <w:sz w:val="22"/>
        </w:rPr>
        <w:t xml:space="preserve">; </w:t>
      </w:r>
      <w:r w:rsidR="00C20FC8" w:rsidRPr="00C31E76">
        <w:rPr>
          <w:rFonts w:ascii="Arial" w:hAnsi="Arial" w:cs="Arial"/>
          <w:sz w:val="22"/>
        </w:rPr>
        <w:t>Non-alcoholic beverages</w:t>
      </w:r>
      <w:r w:rsidR="00C31E76">
        <w:rPr>
          <w:rFonts w:ascii="Arial" w:hAnsi="Arial" w:cs="Arial"/>
          <w:sz w:val="22"/>
        </w:rPr>
        <w:t>;</w:t>
      </w:r>
      <w:r w:rsidR="00C20FC8" w:rsidRPr="00C31E76">
        <w:rPr>
          <w:rFonts w:ascii="Arial" w:hAnsi="Arial" w:cs="Arial"/>
          <w:sz w:val="22"/>
        </w:rPr>
        <w:t xml:space="preserve"> Cereal and cereal products</w:t>
      </w:r>
      <w:r w:rsidR="00C31E76">
        <w:rPr>
          <w:rFonts w:ascii="Arial" w:hAnsi="Arial" w:cs="Arial"/>
          <w:sz w:val="22"/>
        </w:rPr>
        <w:t xml:space="preserve">; </w:t>
      </w:r>
      <w:r w:rsidR="00C20FC8" w:rsidRPr="00C31E76">
        <w:rPr>
          <w:rFonts w:ascii="Arial" w:hAnsi="Arial" w:cs="Arial"/>
          <w:sz w:val="22"/>
        </w:rPr>
        <w:t xml:space="preserve">Cereal-based products and dishes </w:t>
      </w:r>
    </w:p>
    <w:p w14:paraId="5D734B4F" w14:textId="658999BA" w:rsidR="006B3DCD" w:rsidRDefault="00C20FC8" w:rsidP="00CC5193">
      <w:pPr>
        <w:tabs>
          <w:tab w:val="clear" w:pos="567"/>
        </w:tabs>
        <w:rPr>
          <w:rFonts w:ascii="Arial" w:hAnsi="Arial" w:cs="Arial"/>
          <w:sz w:val="22"/>
        </w:rPr>
      </w:pPr>
      <w:r w:rsidRPr="00C20FC8">
        <w:rPr>
          <w:rFonts w:ascii="Arial" w:hAnsi="Arial" w:cs="Arial"/>
          <w:sz w:val="22"/>
        </w:rPr>
        <w:t xml:space="preserve">The </w:t>
      </w:r>
      <w:r w:rsidR="008F127E">
        <w:rPr>
          <w:rFonts w:ascii="Arial" w:hAnsi="Arial" w:cs="Arial"/>
          <w:sz w:val="22"/>
        </w:rPr>
        <w:t xml:space="preserve">estimated </w:t>
      </w:r>
      <w:r w:rsidRPr="00C20FC8">
        <w:rPr>
          <w:rFonts w:ascii="Arial" w:hAnsi="Arial" w:cs="Arial"/>
          <w:sz w:val="22"/>
        </w:rPr>
        <w:t xml:space="preserve">percent contribution </w:t>
      </w:r>
      <w:r w:rsidR="00D81943">
        <w:rPr>
          <w:rFonts w:ascii="Arial" w:hAnsi="Arial" w:cs="Arial"/>
          <w:sz w:val="22"/>
        </w:rPr>
        <w:t xml:space="preserve">by the </w:t>
      </w:r>
      <w:r w:rsidR="009B0530">
        <w:rPr>
          <w:rFonts w:ascii="Arial" w:hAnsi="Arial" w:cs="Arial"/>
          <w:sz w:val="22"/>
        </w:rPr>
        <w:t xml:space="preserve">four </w:t>
      </w:r>
      <w:r w:rsidR="00D81943">
        <w:rPr>
          <w:rFonts w:ascii="Arial" w:hAnsi="Arial" w:cs="Arial"/>
          <w:sz w:val="22"/>
        </w:rPr>
        <w:t>major</w:t>
      </w:r>
      <w:r w:rsidRPr="00C20FC8">
        <w:rPr>
          <w:rFonts w:ascii="Arial" w:hAnsi="Arial" w:cs="Arial"/>
          <w:sz w:val="22"/>
        </w:rPr>
        <w:t xml:space="preserve"> food groups to total iodine intake for this sub-group of the </w:t>
      </w:r>
      <w:r>
        <w:rPr>
          <w:rFonts w:ascii="Arial" w:hAnsi="Arial" w:cs="Arial"/>
          <w:sz w:val="22"/>
        </w:rPr>
        <w:t xml:space="preserve">Australian </w:t>
      </w:r>
      <w:r w:rsidRPr="00C20FC8">
        <w:rPr>
          <w:rFonts w:ascii="Arial" w:hAnsi="Arial" w:cs="Arial"/>
          <w:sz w:val="22"/>
        </w:rPr>
        <w:t xml:space="preserve">population before and after iodine fortification is given in </w:t>
      </w:r>
      <w:r w:rsidRPr="00C34E3C">
        <w:rPr>
          <w:rFonts w:ascii="Arial" w:hAnsi="Arial" w:cs="Arial"/>
          <w:sz w:val="22"/>
        </w:rPr>
        <w:t xml:space="preserve">Table </w:t>
      </w:r>
      <w:r w:rsidR="00DA4F8C">
        <w:rPr>
          <w:rFonts w:ascii="Arial" w:hAnsi="Arial" w:cs="Arial"/>
          <w:sz w:val="22"/>
        </w:rPr>
        <w:t>8</w:t>
      </w:r>
      <w:r w:rsidRPr="00C20FC8">
        <w:rPr>
          <w:rFonts w:ascii="Arial" w:hAnsi="Arial" w:cs="Arial"/>
          <w:sz w:val="22"/>
        </w:rPr>
        <w:t xml:space="preserve">. </w:t>
      </w:r>
      <w:r w:rsidR="00BA679F">
        <w:rPr>
          <w:rFonts w:ascii="Arial" w:hAnsi="Arial" w:cs="Arial"/>
          <w:sz w:val="22"/>
        </w:rPr>
        <w:t xml:space="preserve">The estimates showed a substantial increase in the percent contribution of cereal and cereal products to the dietary iodine intake of the adult Australian population. </w:t>
      </w:r>
      <w:r w:rsidRPr="00C20FC8">
        <w:rPr>
          <w:rFonts w:ascii="Arial" w:hAnsi="Arial" w:cs="Arial"/>
          <w:sz w:val="22"/>
        </w:rPr>
        <w:t xml:space="preserve">The contribution </w:t>
      </w:r>
      <w:r w:rsidR="00BA679F">
        <w:rPr>
          <w:rFonts w:ascii="Arial" w:hAnsi="Arial" w:cs="Arial"/>
          <w:sz w:val="22"/>
        </w:rPr>
        <w:t>by this food group</w:t>
      </w:r>
      <w:r w:rsidRPr="00C20FC8">
        <w:rPr>
          <w:rFonts w:ascii="Arial" w:hAnsi="Arial" w:cs="Arial"/>
          <w:sz w:val="22"/>
        </w:rPr>
        <w:t xml:space="preserve"> to the iodine</w:t>
      </w:r>
      <w:r w:rsidR="00BA679F">
        <w:rPr>
          <w:rFonts w:ascii="Arial" w:hAnsi="Arial" w:cs="Arial"/>
          <w:sz w:val="22"/>
        </w:rPr>
        <w:t xml:space="preserve"> intake of </w:t>
      </w:r>
      <w:r w:rsidR="00866C79">
        <w:rPr>
          <w:rFonts w:ascii="Arial" w:hAnsi="Arial" w:cs="Arial"/>
          <w:sz w:val="22"/>
        </w:rPr>
        <w:t>females</w:t>
      </w:r>
      <w:r w:rsidR="00BA679F">
        <w:rPr>
          <w:rFonts w:ascii="Arial" w:hAnsi="Arial" w:cs="Arial"/>
          <w:sz w:val="22"/>
        </w:rPr>
        <w:t xml:space="preserve"> aged </w:t>
      </w:r>
      <w:r w:rsidR="009B0530">
        <w:rPr>
          <w:rFonts w:ascii="Arial" w:hAnsi="Arial" w:cs="Arial"/>
          <w:sz w:val="22"/>
        </w:rPr>
        <w:t>16</w:t>
      </w:r>
      <w:r w:rsidRPr="00C20FC8">
        <w:rPr>
          <w:rFonts w:ascii="Arial" w:hAnsi="Arial" w:cs="Arial"/>
          <w:sz w:val="22"/>
        </w:rPr>
        <w:t xml:space="preserve">-44 years </w:t>
      </w:r>
      <w:r w:rsidR="009B0530">
        <w:rPr>
          <w:rFonts w:ascii="Arial" w:hAnsi="Arial" w:cs="Arial"/>
          <w:sz w:val="22"/>
        </w:rPr>
        <w:t xml:space="preserve">(target group) </w:t>
      </w:r>
      <w:r w:rsidRPr="00C20FC8">
        <w:rPr>
          <w:rFonts w:ascii="Arial" w:hAnsi="Arial" w:cs="Arial"/>
          <w:sz w:val="22"/>
        </w:rPr>
        <w:t xml:space="preserve">increased from 6% before bread fortification to 37% after </w:t>
      </w:r>
      <w:r>
        <w:rPr>
          <w:rFonts w:ascii="Arial" w:hAnsi="Arial" w:cs="Arial"/>
          <w:sz w:val="22"/>
        </w:rPr>
        <w:t xml:space="preserve">iodine </w:t>
      </w:r>
      <w:r w:rsidRPr="00C20FC8">
        <w:rPr>
          <w:rFonts w:ascii="Arial" w:hAnsi="Arial" w:cs="Arial"/>
          <w:sz w:val="22"/>
        </w:rPr>
        <w:t>fortification</w:t>
      </w:r>
      <w:r>
        <w:rPr>
          <w:rFonts w:ascii="Arial" w:hAnsi="Arial" w:cs="Arial"/>
          <w:sz w:val="22"/>
        </w:rPr>
        <w:t xml:space="preserve"> of bread</w:t>
      </w:r>
      <w:r w:rsidRPr="00C20FC8">
        <w:rPr>
          <w:rFonts w:ascii="Arial" w:hAnsi="Arial" w:cs="Arial"/>
          <w:sz w:val="22"/>
        </w:rPr>
        <w:t xml:space="preserve">. </w:t>
      </w:r>
      <w:r w:rsidR="009B0530">
        <w:rPr>
          <w:rFonts w:ascii="Arial" w:hAnsi="Arial" w:cs="Arial"/>
          <w:sz w:val="22"/>
        </w:rPr>
        <w:t>The change in the contribution for all Australian adults was from 5% to 39% after fortification.</w:t>
      </w:r>
    </w:p>
    <w:p w14:paraId="5D734B50" w14:textId="524694A4" w:rsidR="009B0530" w:rsidRDefault="009B0530" w:rsidP="00CC5193">
      <w:pPr>
        <w:tabs>
          <w:tab w:val="clear" w:pos="567"/>
        </w:tabs>
        <w:rPr>
          <w:rFonts w:ascii="Arial" w:hAnsi="Arial" w:cs="Arial"/>
          <w:sz w:val="22"/>
        </w:rPr>
      </w:pPr>
      <w:r>
        <w:rPr>
          <w:rFonts w:ascii="Arial" w:hAnsi="Arial" w:cs="Arial"/>
          <w:sz w:val="22"/>
        </w:rPr>
        <w:t xml:space="preserve">Figures </w:t>
      </w:r>
      <w:r w:rsidR="00944A7B">
        <w:rPr>
          <w:rFonts w:ascii="Arial" w:hAnsi="Arial" w:cs="Arial"/>
          <w:sz w:val="22"/>
        </w:rPr>
        <w:t>9</w:t>
      </w:r>
      <w:r>
        <w:rPr>
          <w:rFonts w:ascii="Arial" w:hAnsi="Arial" w:cs="Arial"/>
          <w:sz w:val="22"/>
        </w:rPr>
        <w:t xml:space="preserve"> and </w:t>
      </w:r>
      <w:r w:rsidR="00944A7B">
        <w:rPr>
          <w:rFonts w:ascii="Arial" w:hAnsi="Arial" w:cs="Arial"/>
          <w:sz w:val="22"/>
        </w:rPr>
        <w:t>10</w:t>
      </w:r>
      <w:r>
        <w:rPr>
          <w:rFonts w:ascii="Arial" w:hAnsi="Arial" w:cs="Arial"/>
          <w:sz w:val="22"/>
        </w:rPr>
        <w:t xml:space="preserve"> show the percent contribution made by the identified major food groups to the estimated dietary iodine intake for </w:t>
      </w:r>
      <w:r w:rsidR="00F343F7">
        <w:rPr>
          <w:rFonts w:ascii="Arial" w:hAnsi="Arial" w:cs="Arial"/>
          <w:sz w:val="22"/>
        </w:rPr>
        <w:t>females</w:t>
      </w:r>
      <w:r>
        <w:rPr>
          <w:rFonts w:ascii="Arial" w:hAnsi="Arial" w:cs="Arial"/>
          <w:sz w:val="22"/>
        </w:rPr>
        <w:t xml:space="preserve"> of child-bearing age and all Australians aged 17 years and above. </w:t>
      </w:r>
    </w:p>
    <w:p w14:paraId="5D734B51" w14:textId="77777777" w:rsidR="004C7109" w:rsidRDefault="004C7109" w:rsidP="006B57A7">
      <w:pPr>
        <w:pStyle w:val="Caption"/>
      </w:pPr>
    </w:p>
    <w:p w14:paraId="5D734B52" w14:textId="17FAFF99" w:rsidR="006B3DCD" w:rsidRDefault="00866C79" w:rsidP="00866C79">
      <w:pPr>
        <w:pStyle w:val="Caption"/>
      </w:pPr>
      <w:bookmarkStart w:id="43" w:name="_Toc430856504"/>
      <w:r>
        <w:t xml:space="preserve">Table </w:t>
      </w:r>
      <w:r w:rsidR="001E1660">
        <w:fldChar w:fldCharType="begin"/>
      </w:r>
      <w:r w:rsidR="001E1660">
        <w:instrText xml:space="preserve"> SEQ Table \* ARABIC </w:instrText>
      </w:r>
      <w:r w:rsidR="001E1660">
        <w:fldChar w:fldCharType="separate"/>
      </w:r>
      <w:r w:rsidR="00A41217">
        <w:rPr>
          <w:noProof/>
        </w:rPr>
        <w:t>8</w:t>
      </w:r>
      <w:r w:rsidR="001E1660">
        <w:rPr>
          <w:noProof/>
        </w:rPr>
        <w:fldChar w:fldCharType="end"/>
      </w:r>
      <w:r>
        <w:t>: Then four major food contributors to estimated iodine intake - Australian adults and female of child-bearing age</w:t>
      </w:r>
      <w:bookmarkEnd w:id="43"/>
      <w:r>
        <w:t xml:space="preserve"> </w:t>
      </w:r>
    </w:p>
    <w:p w14:paraId="132C47A8" w14:textId="77777777" w:rsidR="00866C79" w:rsidRPr="00866C79" w:rsidRDefault="00866C79" w:rsidP="00866C79">
      <w:pPr>
        <w:spacing w:after="0" w:line="240" w:lineRule="auto"/>
        <w:rPr>
          <w:lang w:val="en-AU" w:eastAsia="en-AU"/>
        </w:rPr>
      </w:pPr>
    </w:p>
    <w:tbl>
      <w:tblPr>
        <w:tblStyle w:val="TableGrid1"/>
        <w:tblW w:w="9497" w:type="dxa"/>
        <w:tblLayout w:type="fixed"/>
        <w:tblLook w:val="06A0" w:firstRow="1" w:lastRow="0" w:firstColumn="1" w:lastColumn="0" w:noHBand="1" w:noVBand="1"/>
        <w:tblCaption w:val="Table 8: Then four major food contributors to estimated iodine intake - Australian adults and female of child-bearing age "/>
      </w:tblPr>
      <w:tblGrid>
        <w:gridCol w:w="3510"/>
        <w:gridCol w:w="1593"/>
        <w:gridCol w:w="1559"/>
        <w:gridCol w:w="1418"/>
        <w:gridCol w:w="1417"/>
      </w:tblGrid>
      <w:tr w:rsidR="006B3DCD" w:rsidRPr="006B3DCD" w14:paraId="5D734B56" w14:textId="77777777" w:rsidTr="006059FC">
        <w:trPr>
          <w:tblHeader/>
        </w:trPr>
        <w:tc>
          <w:tcPr>
            <w:tcW w:w="3510" w:type="dxa"/>
            <w:vMerge w:val="restart"/>
            <w:tcBorders>
              <w:left w:val="nil"/>
            </w:tcBorders>
          </w:tcPr>
          <w:p w14:paraId="5D734B53" w14:textId="77777777" w:rsidR="00136EB4" w:rsidRDefault="00136EB4" w:rsidP="00CC5193">
            <w:pPr>
              <w:tabs>
                <w:tab w:val="clear" w:pos="567"/>
              </w:tabs>
              <w:rPr>
                <w:rFonts w:ascii="Arial" w:eastAsia="Calibri" w:hAnsi="Arial" w:cs="Arial"/>
                <w:b/>
                <w:sz w:val="20"/>
                <w:szCs w:val="20"/>
              </w:rPr>
            </w:pPr>
          </w:p>
          <w:p w14:paraId="5D734B54" w14:textId="77777777" w:rsidR="006B3DCD" w:rsidRPr="008C2EE7" w:rsidRDefault="006B3DCD" w:rsidP="00CC5193">
            <w:pPr>
              <w:tabs>
                <w:tab w:val="clear" w:pos="567"/>
              </w:tabs>
              <w:rPr>
                <w:rFonts w:ascii="Arial" w:eastAsia="Calibri" w:hAnsi="Arial" w:cs="Arial"/>
                <w:b/>
                <w:sz w:val="20"/>
                <w:szCs w:val="20"/>
              </w:rPr>
            </w:pPr>
            <w:r w:rsidRPr="008C2EE7">
              <w:rPr>
                <w:rFonts w:ascii="Arial" w:eastAsia="Calibri" w:hAnsi="Arial" w:cs="Arial"/>
                <w:b/>
                <w:sz w:val="20"/>
                <w:szCs w:val="20"/>
              </w:rPr>
              <w:t>Food group</w:t>
            </w:r>
          </w:p>
        </w:tc>
        <w:tc>
          <w:tcPr>
            <w:tcW w:w="5987" w:type="dxa"/>
            <w:gridSpan w:val="4"/>
            <w:tcBorders>
              <w:right w:val="nil"/>
            </w:tcBorders>
          </w:tcPr>
          <w:p w14:paraId="5D734B55" w14:textId="77777777" w:rsidR="003B557E" w:rsidRPr="00E51250" w:rsidRDefault="006B3DCD" w:rsidP="008C2EE7">
            <w:pPr>
              <w:tabs>
                <w:tab w:val="clear" w:pos="567"/>
              </w:tabs>
              <w:jc w:val="center"/>
              <w:rPr>
                <w:rFonts w:ascii="Arial" w:eastAsia="Calibri" w:hAnsi="Arial" w:cs="Arial"/>
                <w:b/>
                <w:sz w:val="20"/>
                <w:szCs w:val="20"/>
              </w:rPr>
            </w:pPr>
            <w:r w:rsidRPr="00E51250">
              <w:rPr>
                <w:rFonts w:ascii="Arial" w:eastAsia="Calibri" w:hAnsi="Arial" w:cs="Arial"/>
                <w:b/>
                <w:sz w:val="20"/>
                <w:szCs w:val="20"/>
              </w:rPr>
              <w:t>Percent contribution to estimated total iodine intake</w:t>
            </w:r>
          </w:p>
        </w:tc>
      </w:tr>
      <w:tr w:rsidR="006B3DCD" w:rsidRPr="006B3DCD" w14:paraId="5D734B5A" w14:textId="77777777" w:rsidTr="006059FC">
        <w:trPr>
          <w:tblHeader/>
        </w:trPr>
        <w:tc>
          <w:tcPr>
            <w:tcW w:w="3510" w:type="dxa"/>
            <w:vMerge/>
            <w:tcBorders>
              <w:left w:val="nil"/>
            </w:tcBorders>
          </w:tcPr>
          <w:p w14:paraId="5D734B57" w14:textId="77777777" w:rsidR="006B3DCD" w:rsidRPr="006B3DCD" w:rsidRDefault="006B3DCD" w:rsidP="00CC5193">
            <w:pPr>
              <w:tabs>
                <w:tab w:val="clear" w:pos="567"/>
              </w:tabs>
              <w:rPr>
                <w:rFonts w:ascii="Arial" w:eastAsia="Calibri" w:hAnsi="Arial" w:cs="Arial"/>
                <w:sz w:val="20"/>
                <w:szCs w:val="20"/>
              </w:rPr>
            </w:pPr>
          </w:p>
        </w:tc>
        <w:tc>
          <w:tcPr>
            <w:tcW w:w="3152" w:type="dxa"/>
            <w:gridSpan w:val="2"/>
          </w:tcPr>
          <w:p w14:paraId="5D734B58" w14:textId="77777777" w:rsidR="006B3DCD" w:rsidRPr="006B3DCD" w:rsidRDefault="006B3DCD" w:rsidP="00E51250">
            <w:pPr>
              <w:tabs>
                <w:tab w:val="clear" w:pos="567"/>
              </w:tabs>
              <w:jc w:val="center"/>
              <w:rPr>
                <w:rFonts w:ascii="Arial" w:eastAsia="Calibri" w:hAnsi="Arial" w:cs="Arial"/>
                <w:b/>
                <w:sz w:val="20"/>
                <w:szCs w:val="20"/>
              </w:rPr>
            </w:pPr>
            <w:r w:rsidRPr="006B3DCD">
              <w:rPr>
                <w:rFonts w:ascii="Arial" w:eastAsia="Calibri" w:hAnsi="Arial" w:cs="Arial"/>
                <w:b/>
                <w:bCs/>
                <w:sz w:val="20"/>
                <w:szCs w:val="20"/>
              </w:rPr>
              <w:t xml:space="preserve">All persons </w:t>
            </w:r>
            <w:r w:rsidRPr="00951925">
              <w:rPr>
                <w:rFonts w:ascii="Arial" w:eastAsia="Calibri" w:hAnsi="Arial" w:cs="Arial"/>
                <w:b/>
                <w:bCs/>
                <w:sz w:val="20"/>
                <w:szCs w:val="20"/>
              </w:rPr>
              <w:t xml:space="preserve">aged </w:t>
            </w:r>
            <w:r w:rsidRPr="006B3DCD">
              <w:rPr>
                <w:rFonts w:ascii="Arial" w:eastAsia="Calibri" w:hAnsi="Arial" w:cs="Arial"/>
                <w:b/>
                <w:bCs/>
                <w:sz w:val="20"/>
                <w:szCs w:val="20"/>
              </w:rPr>
              <w:t>17 years and above</w:t>
            </w:r>
          </w:p>
        </w:tc>
        <w:tc>
          <w:tcPr>
            <w:tcW w:w="2835" w:type="dxa"/>
            <w:gridSpan w:val="2"/>
            <w:tcBorders>
              <w:right w:val="nil"/>
            </w:tcBorders>
          </w:tcPr>
          <w:p w14:paraId="5D734B59" w14:textId="7FA615BE" w:rsidR="006B3DCD" w:rsidRPr="006B3DCD" w:rsidRDefault="00866C79" w:rsidP="00E51250">
            <w:pPr>
              <w:tabs>
                <w:tab w:val="clear" w:pos="567"/>
              </w:tabs>
              <w:jc w:val="center"/>
              <w:rPr>
                <w:rFonts w:ascii="Arial" w:eastAsia="Calibri" w:hAnsi="Arial" w:cs="Arial"/>
                <w:b/>
                <w:sz w:val="20"/>
                <w:szCs w:val="20"/>
              </w:rPr>
            </w:pPr>
            <w:r>
              <w:rPr>
                <w:rFonts w:ascii="Arial" w:eastAsia="Calibri" w:hAnsi="Arial" w:cs="Arial"/>
                <w:b/>
                <w:sz w:val="20"/>
                <w:szCs w:val="20"/>
              </w:rPr>
              <w:t>Females</w:t>
            </w:r>
            <w:r w:rsidR="006B3DCD" w:rsidRPr="006B3DCD">
              <w:rPr>
                <w:rFonts w:ascii="Arial" w:eastAsia="Calibri" w:hAnsi="Arial" w:cs="Arial"/>
                <w:b/>
                <w:sz w:val="20"/>
                <w:szCs w:val="20"/>
              </w:rPr>
              <w:t xml:space="preserve"> 16-44 years</w:t>
            </w:r>
          </w:p>
        </w:tc>
      </w:tr>
      <w:tr w:rsidR="006B3DCD" w:rsidRPr="006B3DCD" w14:paraId="5D734B60" w14:textId="77777777" w:rsidTr="006059FC">
        <w:trPr>
          <w:tblHeader/>
        </w:trPr>
        <w:tc>
          <w:tcPr>
            <w:tcW w:w="3510" w:type="dxa"/>
            <w:vMerge/>
            <w:tcBorders>
              <w:left w:val="nil"/>
              <w:bottom w:val="single" w:sz="4" w:space="0" w:color="auto"/>
            </w:tcBorders>
          </w:tcPr>
          <w:p w14:paraId="5D734B5B" w14:textId="77777777" w:rsidR="006B3DCD" w:rsidRPr="006B3DCD" w:rsidRDefault="006B3DCD" w:rsidP="00CC5193">
            <w:pPr>
              <w:tabs>
                <w:tab w:val="clear" w:pos="567"/>
              </w:tabs>
              <w:rPr>
                <w:rFonts w:ascii="Arial" w:eastAsia="Calibri" w:hAnsi="Arial" w:cs="Arial"/>
                <w:sz w:val="20"/>
                <w:szCs w:val="20"/>
              </w:rPr>
            </w:pPr>
          </w:p>
        </w:tc>
        <w:tc>
          <w:tcPr>
            <w:tcW w:w="1593" w:type="dxa"/>
            <w:tcBorders>
              <w:bottom w:val="single" w:sz="4" w:space="0" w:color="auto"/>
            </w:tcBorders>
          </w:tcPr>
          <w:p w14:paraId="5D734B5C" w14:textId="77777777" w:rsidR="006B3DCD" w:rsidRPr="006B3DCD" w:rsidRDefault="006B3DCD" w:rsidP="00E51250">
            <w:pPr>
              <w:tabs>
                <w:tab w:val="clear" w:pos="567"/>
              </w:tabs>
              <w:jc w:val="center"/>
              <w:rPr>
                <w:rFonts w:ascii="Arial" w:eastAsia="Calibri" w:hAnsi="Arial" w:cs="Arial"/>
                <w:b/>
                <w:sz w:val="20"/>
                <w:szCs w:val="20"/>
              </w:rPr>
            </w:pPr>
            <w:r w:rsidRPr="006B3DCD">
              <w:rPr>
                <w:rFonts w:ascii="Arial" w:eastAsia="Calibri" w:hAnsi="Arial" w:cs="Arial"/>
                <w:b/>
                <w:sz w:val="20"/>
                <w:szCs w:val="20"/>
              </w:rPr>
              <w:t>Pre-fortification</w:t>
            </w:r>
          </w:p>
        </w:tc>
        <w:tc>
          <w:tcPr>
            <w:tcW w:w="1559" w:type="dxa"/>
            <w:tcBorders>
              <w:bottom w:val="single" w:sz="4" w:space="0" w:color="auto"/>
            </w:tcBorders>
          </w:tcPr>
          <w:p w14:paraId="5D734B5D" w14:textId="77777777" w:rsidR="006B3DCD" w:rsidRPr="006B3DCD" w:rsidRDefault="006B3DCD" w:rsidP="00E51250">
            <w:pPr>
              <w:tabs>
                <w:tab w:val="clear" w:pos="567"/>
              </w:tabs>
              <w:jc w:val="center"/>
              <w:rPr>
                <w:rFonts w:ascii="Arial" w:eastAsia="Calibri" w:hAnsi="Arial" w:cs="Arial"/>
                <w:b/>
                <w:sz w:val="20"/>
                <w:szCs w:val="20"/>
              </w:rPr>
            </w:pPr>
            <w:r w:rsidRPr="006B3DCD">
              <w:rPr>
                <w:rFonts w:ascii="Arial" w:eastAsia="Calibri" w:hAnsi="Arial" w:cs="Arial"/>
                <w:b/>
                <w:sz w:val="20"/>
                <w:szCs w:val="20"/>
              </w:rPr>
              <w:t>Post-fortification</w:t>
            </w:r>
          </w:p>
        </w:tc>
        <w:tc>
          <w:tcPr>
            <w:tcW w:w="1418" w:type="dxa"/>
            <w:tcBorders>
              <w:bottom w:val="single" w:sz="4" w:space="0" w:color="auto"/>
            </w:tcBorders>
          </w:tcPr>
          <w:p w14:paraId="5D734B5E" w14:textId="77777777" w:rsidR="006B3DCD" w:rsidRPr="006B3DCD" w:rsidRDefault="006B3DCD" w:rsidP="00E51250">
            <w:pPr>
              <w:tabs>
                <w:tab w:val="clear" w:pos="567"/>
              </w:tabs>
              <w:jc w:val="center"/>
              <w:rPr>
                <w:rFonts w:ascii="Arial" w:eastAsia="Calibri" w:hAnsi="Arial" w:cs="Arial"/>
                <w:b/>
                <w:sz w:val="20"/>
                <w:szCs w:val="20"/>
              </w:rPr>
            </w:pPr>
            <w:r w:rsidRPr="006B3DCD">
              <w:rPr>
                <w:rFonts w:ascii="Arial" w:eastAsia="Calibri" w:hAnsi="Arial" w:cs="Arial"/>
                <w:b/>
                <w:sz w:val="20"/>
                <w:szCs w:val="20"/>
              </w:rPr>
              <w:t>Pre-fortification</w:t>
            </w:r>
          </w:p>
        </w:tc>
        <w:tc>
          <w:tcPr>
            <w:tcW w:w="1417" w:type="dxa"/>
            <w:tcBorders>
              <w:bottom w:val="single" w:sz="4" w:space="0" w:color="auto"/>
              <w:right w:val="nil"/>
            </w:tcBorders>
          </w:tcPr>
          <w:p w14:paraId="5D734B5F" w14:textId="77777777" w:rsidR="00992F51" w:rsidRPr="006B3DCD" w:rsidRDefault="006B3DCD" w:rsidP="00E51250">
            <w:pPr>
              <w:tabs>
                <w:tab w:val="clear" w:pos="567"/>
              </w:tabs>
              <w:jc w:val="center"/>
              <w:rPr>
                <w:rFonts w:ascii="Arial" w:eastAsia="Calibri" w:hAnsi="Arial" w:cs="Arial"/>
                <w:b/>
                <w:sz w:val="20"/>
                <w:szCs w:val="20"/>
              </w:rPr>
            </w:pPr>
            <w:r w:rsidRPr="006B3DCD">
              <w:rPr>
                <w:rFonts w:ascii="Arial" w:eastAsia="Calibri" w:hAnsi="Arial" w:cs="Arial"/>
                <w:b/>
                <w:sz w:val="20"/>
                <w:szCs w:val="20"/>
              </w:rPr>
              <w:t>Post-fortification</w:t>
            </w:r>
          </w:p>
        </w:tc>
      </w:tr>
      <w:tr w:rsidR="00A557CB" w:rsidRPr="006B3DCD" w14:paraId="5D734B66" w14:textId="77777777" w:rsidTr="00C319B0">
        <w:tc>
          <w:tcPr>
            <w:tcW w:w="3510" w:type="dxa"/>
            <w:tcBorders>
              <w:top w:val="single" w:sz="4" w:space="0" w:color="auto"/>
              <w:left w:val="nil"/>
              <w:bottom w:val="nil"/>
              <w:right w:val="nil"/>
            </w:tcBorders>
          </w:tcPr>
          <w:p w14:paraId="5D734B61" w14:textId="77777777" w:rsidR="00A557CB" w:rsidRPr="00B95816" w:rsidRDefault="00A557CB" w:rsidP="00CC5193">
            <w:pPr>
              <w:tabs>
                <w:tab w:val="clear" w:pos="567"/>
              </w:tabs>
              <w:rPr>
                <w:rFonts w:ascii="Arial" w:eastAsia="Calibri" w:hAnsi="Arial" w:cs="Arial"/>
                <w:sz w:val="20"/>
                <w:szCs w:val="20"/>
              </w:rPr>
            </w:pPr>
            <w:r w:rsidRPr="00B95816">
              <w:rPr>
                <w:rFonts w:ascii="Arial" w:eastAsia="Calibri" w:hAnsi="Arial" w:cs="Arial"/>
                <w:sz w:val="20"/>
                <w:szCs w:val="20"/>
              </w:rPr>
              <w:t>Milk products and dishes</w:t>
            </w:r>
          </w:p>
        </w:tc>
        <w:tc>
          <w:tcPr>
            <w:tcW w:w="1593" w:type="dxa"/>
            <w:tcBorders>
              <w:top w:val="single" w:sz="4" w:space="0" w:color="auto"/>
              <w:left w:val="nil"/>
              <w:bottom w:val="nil"/>
              <w:right w:val="nil"/>
            </w:tcBorders>
          </w:tcPr>
          <w:p w14:paraId="5D734B62"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41</w:t>
            </w:r>
          </w:p>
        </w:tc>
        <w:tc>
          <w:tcPr>
            <w:tcW w:w="1559" w:type="dxa"/>
            <w:tcBorders>
              <w:top w:val="single" w:sz="4" w:space="0" w:color="auto"/>
              <w:left w:val="nil"/>
              <w:bottom w:val="nil"/>
              <w:right w:val="nil"/>
            </w:tcBorders>
          </w:tcPr>
          <w:p w14:paraId="5D734B63"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26</w:t>
            </w:r>
          </w:p>
        </w:tc>
        <w:tc>
          <w:tcPr>
            <w:tcW w:w="1418" w:type="dxa"/>
            <w:tcBorders>
              <w:top w:val="single" w:sz="4" w:space="0" w:color="auto"/>
              <w:left w:val="nil"/>
              <w:bottom w:val="nil"/>
              <w:right w:val="nil"/>
            </w:tcBorders>
          </w:tcPr>
          <w:p w14:paraId="5D734B64"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41</w:t>
            </w:r>
          </w:p>
        </w:tc>
        <w:tc>
          <w:tcPr>
            <w:tcW w:w="1417" w:type="dxa"/>
            <w:tcBorders>
              <w:top w:val="single" w:sz="4" w:space="0" w:color="auto"/>
              <w:left w:val="nil"/>
              <w:bottom w:val="nil"/>
              <w:right w:val="nil"/>
            </w:tcBorders>
          </w:tcPr>
          <w:p w14:paraId="5D734B65"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26</w:t>
            </w:r>
          </w:p>
        </w:tc>
      </w:tr>
      <w:tr w:rsidR="00A557CB" w:rsidRPr="006B3DCD" w14:paraId="5D734B6C" w14:textId="77777777" w:rsidTr="00C319B0">
        <w:tc>
          <w:tcPr>
            <w:tcW w:w="3510" w:type="dxa"/>
            <w:tcBorders>
              <w:top w:val="nil"/>
              <w:left w:val="nil"/>
              <w:bottom w:val="nil"/>
              <w:right w:val="nil"/>
            </w:tcBorders>
          </w:tcPr>
          <w:p w14:paraId="5D734B67" w14:textId="77777777" w:rsidR="00A557CB" w:rsidRPr="00B95816" w:rsidRDefault="00A557CB" w:rsidP="00CC5193">
            <w:pPr>
              <w:tabs>
                <w:tab w:val="clear" w:pos="567"/>
              </w:tabs>
              <w:rPr>
                <w:rFonts w:ascii="Arial" w:eastAsia="Calibri" w:hAnsi="Arial" w:cs="Arial"/>
                <w:sz w:val="20"/>
                <w:szCs w:val="20"/>
              </w:rPr>
            </w:pPr>
            <w:r w:rsidRPr="00B95816">
              <w:rPr>
                <w:rFonts w:ascii="Arial" w:eastAsia="Calibri" w:hAnsi="Arial" w:cs="Arial"/>
                <w:sz w:val="20"/>
                <w:szCs w:val="20"/>
              </w:rPr>
              <w:t>Non-alcoholic beverages</w:t>
            </w:r>
          </w:p>
        </w:tc>
        <w:tc>
          <w:tcPr>
            <w:tcW w:w="1593" w:type="dxa"/>
            <w:tcBorders>
              <w:top w:val="nil"/>
              <w:left w:val="nil"/>
              <w:bottom w:val="nil"/>
              <w:right w:val="nil"/>
            </w:tcBorders>
          </w:tcPr>
          <w:p w14:paraId="5D734B68"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15</w:t>
            </w:r>
          </w:p>
        </w:tc>
        <w:tc>
          <w:tcPr>
            <w:tcW w:w="1559" w:type="dxa"/>
            <w:tcBorders>
              <w:top w:val="nil"/>
              <w:left w:val="nil"/>
              <w:bottom w:val="nil"/>
              <w:right w:val="nil"/>
            </w:tcBorders>
          </w:tcPr>
          <w:p w14:paraId="5D734B69"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9</w:t>
            </w:r>
          </w:p>
        </w:tc>
        <w:tc>
          <w:tcPr>
            <w:tcW w:w="1418" w:type="dxa"/>
            <w:tcBorders>
              <w:top w:val="nil"/>
              <w:left w:val="nil"/>
              <w:bottom w:val="nil"/>
              <w:right w:val="nil"/>
            </w:tcBorders>
          </w:tcPr>
          <w:p w14:paraId="5D734B6A"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16</w:t>
            </w:r>
          </w:p>
        </w:tc>
        <w:tc>
          <w:tcPr>
            <w:tcW w:w="1417" w:type="dxa"/>
            <w:tcBorders>
              <w:top w:val="nil"/>
              <w:left w:val="nil"/>
              <w:bottom w:val="nil"/>
              <w:right w:val="nil"/>
            </w:tcBorders>
          </w:tcPr>
          <w:p w14:paraId="5D734B6B"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10</w:t>
            </w:r>
          </w:p>
        </w:tc>
      </w:tr>
      <w:tr w:rsidR="00A557CB" w:rsidRPr="006B3DCD" w14:paraId="5D734B72" w14:textId="77777777" w:rsidTr="00C319B0">
        <w:tc>
          <w:tcPr>
            <w:tcW w:w="3510" w:type="dxa"/>
            <w:tcBorders>
              <w:top w:val="nil"/>
              <w:left w:val="nil"/>
              <w:bottom w:val="nil"/>
              <w:right w:val="nil"/>
            </w:tcBorders>
          </w:tcPr>
          <w:p w14:paraId="5D734B6D" w14:textId="77777777" w:rsidR="00A557CB" w:rsidRPr="00B95816" w:rsidRDefault="00A557CB" w:rsidP="00CC5193">
            <w:pPr>
              <w:tabs>
                <w:tab w:val="clear" w:pos="567"/>
              </w:tabs>
              <w:rPr>
                <w:rFonts w:ascii="Arial" w:eastAsia="Calibri" w:hAnsi="Arial" w:cs="Arial"/>
                <w:sz w:val="20"/>
                <w:szCs w:val="20"/>
              </w:rPr>
            </w:pPr>
            <w:r w:rsidRPr="00B95816">
              <w:rPr>
                <w:rFonts w:ascii="Arial" w:eastAsia="Calibri" w:hAnsi="Arial" w:cs="Arial"/>
                <w:sz w:val="20"/>
                <w:szCs w:val="20"/>
              </w:rPr>
              <w:t>Cereal-based products and dishes</w:t>
            </w:r>
          </w:p>
        </w:tc>
        <w:tc>
          <w:tcPr>
            <w:tcW w:w="1593" w:type="dxa"/>
            <w:tcBorders>
              <w:top w:val="nil"/>
              <w:left w:val="nil"/>
              <w:bottom w:val="nil"/>
              <w:right w:val="nil"/>
            </w:tcBorders>
          </w:tcPr>
          <w:p w14:paraId="5D734B6E"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7</w:t>
            </w:r>
          </w:p>
        </w:tc>
        <w:tc>
          <w:tcPr>
            <w:tcW w:w="1559" w:type="dxa"/>
            <w:tcBorders>
              <w:top w:val="nil"/>
              <w:left w:val="nil"/>
              <w:bottom w:val="nil"/>
              <w:right w:val="nil"/>
            </w:tcBorders>
          </w:tcPr>
          <w:p w14:paraId="5D734B6F"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6</w:t>
            </w:r>
          </w:p>
        </w:tc>
        <w:tc>
          <w:tcPr>
            <w:tcW w:w="1418" w:type="dxa"/>
            <w:tcBorders>
              <w:top w:val="nil"/>
              <w:left w:val="nil"/>
              <w:bottom w:val="nil"/>
              <w:right w:val="nil"/>
            </w:tcBorders>
          </w:tcPr>
          <w:p w14:paraId="5D734B70"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7</w:t>
            </w:r>
          </w:p>
        </w:tc>
        <w:tc>
          <w:tcPr>
            <w:tcW w:w="1417" w:type="dxa"/>
            <w:tcBorders>
              <w:top w:val="nil"/>
              <w:left w:val="nil"/>
              <w:bottom w:val="nil"/>
              <w:right w:val="nil"/>
            </w:tcBorders>
          </w:tcPr>
          <w:p w14:paraId="5D734B71"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7</w:t>
            </w:r>
          </w:p>
        </w:tc>
      </w:tr>
      <w:tr w:rsidR="00A557CB" w:rsidRPr="006B3DCD" w14:paraId="5D734B78" w14:textId="77777777" w:rsidTr="00C319B0">
        <w:tc>
          <w:tcPr>
            <w:tcW w:w="3510" w:type="dxa"/>
            <w:tcBorders>
              <w:top w:val="nil"/>
              <w:left w:val="nil"/>
              <w:bottom w:val="single" w:sz="4" w:space="0" w:color="auto"/>
              <w:right w:val="nil"/>
            </w:tcBorders>
          </w:tcPr>
          <w:p w14:paraId="5D734B73" w14:textId="77777777" w:rsidR="00A557CB" w:rsidRPr="00B95816" w:rsidRDefault="00A557CB" w:rsidP="00CC5193">
            <w:pPr>
              <w:tabs>
                <w:tab w:val="clear" w:pos="567"/>
              </w:tabs>
              <w:rPr>
                <w:rFonts w:ascii="Arial" w:eastAsia="Calibri" w:hAnsi="Arial" w:cs="Arial"/>
                <w:sz w:val="20"/>
                <w:szCs w:val="20"/>
              </w:rPr>
            </w:pPr>
            <w:r w:rsidRPr="00B95816">
              <w:rPr>
                <w:rFonts w:ascii="Arial" w:eastAsia="Calibri" w:hAnsi="Arial" w:cs="Arial"/>
                <w:sz w:val="20"/>
                <w:szCs w:val="20"/>
              </w:rPr>
              <w:t>Cereal and cereal products</w:t>
            </w:r>
          </w:p>
        </w:tc>
        <w:tc>
          <w:tcPr>
            <w:tcW w:w="1593" w:type="dxa"/>
            <w:tcBorders>
              <w:top w:val="nil"/>
              <w:left w:val="nil"/>
              <w:bottom w:val="single" w:sz="4" w:space="0" w:color="auto"/>
              <w:right w:val="nil"/>
            </w:tcBorders>
          </w:tcPr>
          <w:p w14:paraId="5D734B74"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5</w:t>
            </w:r>
          </w:p>
        </w:tc>
        <w:tc>
          <w:tcPr>
            <w:tcW w:w="1559" w:type="dxa"/>
            <w:tcBorders>
              <w:top w:val="nil"/>
              <w:left w:val="nil"/>
              <w:bottom w:val="single" w:sz="4" w:space="0" w:color="auto"/>
              <w:right w:val="nil"/>
            </w:tcBorders>
          </w:tcPr>
          <w:p w14:paraId="5D734B75"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39</w:t>
            </w:r>
          </w:p>
        </w:tc>
        <w:tc>
          <w:tcPr>
            <w:tcW w:w="1418" w:type="dxa"/>
            <w:tcBorders>
              <w:top w:val="nil"/>
              <w:left w:val="nil"/>
              <w:bottom w:val="single" w:sz="4" w:space="0" w:color="auto"/>
              <w:right w:val="nil"/>
            </w:tcBorders>
          </w:tcPr>
          <w:p w14:paraId="5D734B76"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6</w:t>
            </w:r>
          </w:p>
        </w:tc>
        <w:tc>
          <w:tcPr>
            <w:tcW w:w="1417" w:type="dxa"/>
            <w:tcBorders>
              <w:top w:val="nil"/>
              <w:left w:val="nil"/>
              <w:bottom w:val="single" w:sz="4" w:space="0" w:color="auto"/>
              <w:right w:val="nil"/>
            </w:tcBorders>
          </w:tcPr>
          <w:p w14:paraId="5D734B77" w14:textId="77777777" w:rsidR="00A557CB" w:rsidRPr="00951925" w:rsidRDefault="00A557CB" w:rsidP="00CC5193">
            <w:pPr>
              <w:jc w:val="right"/>
              <w:rPr>
                <w:rFonts w:ascii="Arial" w:hAnsi="Arial" w:cs="Arial"/>
                <w:color w:val="000000"/>
                <w:sz w:val="20"/>
                <w:szCs w:val="20"/>
              </w:rPr>
            </w:pPr>
            <w:r w:rsidRPr="00951925">
              <w:rPr>
                <w:rFonts w:ascii="Arial" w:hAnsi="Arial" w:cs="Arial"/>
                <w:color w:val="000000"/>
                <w:sz w:val="20"/>
                <w:szCs w:val="20"/>
              </w:rPr>
              <w:t>37</w:t>
            </w:r>
          </w:p>
        </w:tc>
      </w:tr>
    </w:tbl>
    <w:p w14:paraId="5D734B79" w14:textId="77777777" w:rsidR="004C7109" w:rsidRDefault="004C7109" w:rsidP="00CC5193">
      <w:pPr>
        <w:rPr>
          <w:rFonts w:ascii="Arial" w:hAnsi="Arial" w:cs="Arial"/>
          <w:sz w:val="22"/>
        </w:rPr>
      </w:pPr>
    </w:p>
    <w:p w14:paraId="5D734B7A" w14:textId="77777777" w:rsidR="000F5E29" w:rsidRDefault="000F5E29" w:rsidP="00CC5193">
      <w:pPr>
        <w:rPr>
          <w:rFonts w:ascii="Arial" w:hAnsi="Arial" w:cs="Arial"/>
          <w:sz w:val="22"/>
        </w:rPr>
      </w:pPr>
    </w:p>
    <w:p w14:paraId="5D734B7B" w14:textId="77777777" w:rsidR="000F5E29" w:rsidRPr="000F5E29" w:rsidRDefault="00541FC9" w:rsidP="000F5E29">
      <w:pPr>
        <w:rPr>
          <w:rFonts w:ascii="Arial" w:hAnsi="Arial" w:cs="Arial"/>
          <w:sz w:val="22"/>
        </w:rPr>
      </w:pPr>
      <w:r w:rsidRPr="008105D1">
        <w:rPr>
          <w:noProof/>
          <w:lang w:eastAsia="en-GB"/>
        </w:rPr>
        <w:lastRenderedPageBreak/>
        <w:drawing>
          <wp:inline distT="0" distB="0" distL="0" distR="0" wp14:anchorId="5D734D75" wp14:editId="295F839E">
            <wp:extent cx="5758333" cy="3147060"/>
            <wp:effectExtent l="0" t="0" r="0" b="0"/>
            <wp:docPr id="14" name="Picture 14" title="Figure 9: Contribution to estimated dietary iodine intake (%) - Australian females aged 16-44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3147671"/>
                    </a:xfrm>
                    <a:prstGeom prst="rect">
                      <a:avLst/>
                    </a:prstGeom>
                    <a:noFill/>
                    <a:ln>
                      <a:noFill/>
                    </a:ln>
                  </pic:spPr>
                </pic:pic>
              </a:graphicData>
            </a:graphic>
          </wp:inline>
        </w:drawing>
      </w:r>
    </w:p>
    <w:p w14:paraId="5D734B7C" w14:textId="7E84BD8A" w:rsidR="008105D1" w:rsidRDefault="00EA3F43" w:rsidP="00EA3F43">
      <w:pPr>
        <w:pStyle w:val="Caption"/>
      </w:pPr>
      <w:bookmarkStart w:id="44" w:name="_Toc430854555"/>
      <w:r>
        <w:t xml:space="preserve">Figure </w:t>
      </w:r>
      <w:r w:rsidR="001E1660">
        <w:fldChar w:fldCharType="begin"/>
      </w:r>
      <w:r w:rsidR="001E1660">
        <w:instrText xml:space="preserve"> SEQ Figure \* ARABIC </w:instrText>
      </w:r>
      <w:r w:rsidR="001E1660">
        <w:fldChar w:fldCharType="separate"/>
      </w:r>
      <w:r w:rsidR="00A41217">
        <w:rPr>
          <w:noProof/>
        </w:rPr>
        <w:t>9</w:t>
      </w:r>
      <w:r w:rsidR="001E1660">
        <w:rPr>
          <w:noProof/>
        </w:rPr>
        <w:fldChar w:fldCharType="end"/>
      </w:r>
      <w:r>
        <w:t>: Contribution to estimated dietary iodine intake (%) - Australian females aged 16-44 years</w:t>
      </w:r>
      <w:bookmarkEnd w:id="44"/>
      <w:r>
        <w:t xml:space="preserve"> </w:t>
      </w:r>
    </w:p>
    <w:p w14:paraId="45685862" w14:textId="77777777" w:rsidR="00EA3F43" w:rsidRPr="00EA3F43" w:rsidRDefault="00EA3F43" w:rsidP="00EA3F43">
      <w:pPr>
        <w:rPr>
          <w:lang w:val="en-AU" w:eastAsia="en-AU"/>
        </w:rPr>
      </w:pPr>
    </w:p>
    <w:p w14:paraId="5D734B7D" w14:textId="77777777" w:rsidR="00CD1B15" w:rsidRDefault="00C31E76" w:rsidP="00CC5193">
      <w:pPr>
        <w:rPr>
          <w:rFonts w:ascii="Arial" w:hAnsi="Arial" w:cs="Arial"/>
          <w:sz w:val="22"/>
        </w:rPr>
      </w:pPr>
      <w:r w:rsidRPr="00C31E76">
        <w:rPr>
          <w:noProof/>
          <w:lang w:eastAsia="en-GB"/>
        </w:rPr>
        <w:drawing>
          <wp:inline distT="0" distB="0" distL="0" distR="0" wp14:anchorId="5D734D77" wp14:editId="1E4830C9">
            <wp:extent cx="5753099" cy="3070860"/>
            <wp:effectExtent l="0" t="0" r="635" b="0"/>
            <wp:docPr id="30" name="Picture 30" title="Figure 10: Contribution to estimated dietary iodine intake (%) - Australians 17 years and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3074250"/>
                    </a:xfrm>
                    <a:prstGeom prst="rect">
                      <a:avLst/>
                    </a:prstGeom>
                    <a:noFill/>
                    <a:ln>
                      <a:noFill/>
                    </a:ln>
                  </pic:spPr>
                </pic:pic>
              </a:graphicData>
            </a:graphic>
          </wp:inline>
        </w:drawing>
      </w:r>
    </w:p>
    <w:p w14:paraId="5D734B7E" w14:textId="1441ACFF" w:rsidR="00897DDD" w:rsidRDefault="00EA3F43" w:rsidP="00EA3F43">
      <w:pPr>
        <w:pStyle w:val="Caption"/>
      </w:pPr>
      <w:bookmarkStart w:id="45" w:name="_Toc430854556"/>
      <w:r>
        <w:t xml:space="preserve">Figure </w:t>
      </w:r>
      <w:r w:rsidR="001E1660">
        <w:fldChar w:fldCharType="begin"/>
      </w:r>
      <w:r w:rsidR="001E1660">
        <w:instrText xml:space="preserve"> SEQ Figure \* ARABIC </w:instrText>
      </w:r>
      <w:r w:rsidR="001E1660">
        <w:fldChar w:fldCharType="separate"/>
      </w:r>
      <w:r w:rsidR="00A41217">
        <w:rPr>
          <w:noProof/>
        </w:rPr>
        <w:t>10</w:t>
      </w:r>
      <w:r w:rsidR="001E1660">
        <w:rPr>
          <w:noProof/>
        </w:rPr>
        <w:fldChar w:fldCharType="end"/>
      </w:r>
      <w:r>
        <w:t>: Contribution to estimated dietary iodine intake (%) - Australians 17 years and above</w:t>
      </w:r>
      <w:bookmarkEnd w:id="45"/>
      <w:r>
        <w:t xml:space="preserve"> </w:t>
      </w:r>
    </w:p>
    <w:p w14:paraId="33655176" w14:textId="77777777" w:rsidR="00EA3F43" w:rsidRPr="00EA3F43" w:rsidRDefault="00EA3F43" w:rsidP="00EA3F43">
      <w:pPr>
        <w:rPr>
          <w:lang w:val="en-AU" w:eastAsia="en-AU"/>
        </w:rPr>
      </w:pPr>
    </w:p>
    <w:p w14:paraId="5D734B7F" w14:textId="74081C62" w:rsidR="005C7545" w:rsidRPr="00324B77" w:rsidRDefault="00324B77" w:rsidP="00CC5193">
      <w:pPr>
        <w:rPr>
          <w:rFonts w:ascii="Arial" w:hAnsi="Arial" w:cs="Arial"/>
          <w:sz w:val="22"/>
        </w:rPr>
      </w:pPr>
      <w:r>
        <w:rPr>
          <w:rFonts w:ascii="Arial" w:hAnsi="Arial" w:cs="Arial"/>
          <w:sz w:val="22"/>
        </w:rPr>
        <w:t>Considering bread is the food vehicle for iodine fortification, and n</w:t>
      </w:r>
      <w:r w:rsidRPr="00324B77">
        <w:rPr>
          <w:rFonts w:ascii="Arial" w:hAnsi="Arial" w:cs="Arial"/>
          <w:sz w:val="22"/>
        </w:rPr>
        <w:t xml:space="preserve">oting the </w:t>
      </w:r>
      <w:r w:rsidR="00BA679F" w:rsidRPr="00324B77">
        <w:rPr>
          <w:rFonts w:ascii="Arial" w:hAnsi="Arial" w:cs="Arial"/>
          <w:sz w:val="22"/>
        </w:rPr>
        <w:t xml:space="preserve">substantial increase in the percentage contribution of cereals and cereal products to dietary iodine intake, the percent contribution of </w:t>
      </w:r>
      <w:r>
        <w:rPr>
          <w:rFonts w:ascii="Arial" w:hAnsi="Arial" w:cs="Arial"/>
          <w:sz w:val="22"/>
        </w:rPr>
        <w:t xml:space="preserve">the </w:t>
      </w:r>
      <w:r w:rsidR="003F4511">
        <w:rPr>
          <w:rFonts w:ascii="Arial" w:hAnsi="Arial" w:cs="Arial"/>
          <w:sz w:val="22"/>
        </w:rPr>
        <w:t xml:space="preserve">main </w:t>
      </w:r>
      <w:r w:rsidR="00BA679F" w:rsidRPr="00324B77">
        <w:rPr>
          <w:rFonts w:ascii="Arial" w:hAnsi="Arial" w:cs="Arial"/>
          <w:sz w:val="22"/>
        </w:rPr>
        <w:t xml:space="preserve">bread types to iodine intake </w:t>
      </w:r>
      <w:r w:rsidR="00AE339D">
        <w:rPr>
          <w:rFonts w:ascii="Arial" w:hAnsi="Arial" w:cs="Arial"/>
          <w:sz w:val="22"/>
        </w:rPr>
        <w:t xml:space="preserve">from bread </w:t>
      </w:r>
      <w:r w:rsidR="00BA679F" w:rsidRPr="00324B77">
        <w:rPr>
          <w:rFonts w:ascii="Arial" w:hAnsi="Arial" w:cs="Arial"/>
          <w:sz w:val="22"/>
        </w:rPr>
        <w:t xml:space="preserve">was determined. </w:t>
      </w:r>
      <w:r w:rsidR="00BA679F" w:rsidRPr="00B4718D">
        <w:rPr>
          <w:rFonts w:ascii="Arial" w:hAnsi="Arial" w:cs="Arial"/>
          <w:sz w:val="22"/>
        </w:rPr>
        <w:t>Figure</w:t>
      </w:r>
      <w:r w:rsidR="00AE339D">
        <w:rPr>
          <w:rFonts w:ascii="Arial" w:hAnsi="Arial" w:cs="Arial"/>
          <w:sz w:val="22"/>
        </w:rPr>
        <w:t>s</w:t>
      </w:r>
      <w:r w:rsidR="00BA679F" w:rsidRPr="00B4718D">
        <w:rPr>
          <w:rFonts w:ascii="Arial" w:hAnsi="Arial" w:cs="Arial"/>
          <w:sz w:val="22"/>
        </w:rPr>
        <w:t xml:space="preserve"> </w:t>
      </w:r>
      <w:r w:rsidR="00ED112C">
        <w:rPr>
          <w:rFonts w:ascii="Arial" w:hAnsi="Arial" w:cs="Arial"/>
          <w:sz w:val="22"/>
        </w:rPr>
        <w:t>1</w:t>
      </w:r>
      <w:r w:rsidR="00944A7B">
        <w:rPr>
          <w:rFonts w:ascii="Arial" w:hAnsi="Arial" w:cs="Arial"/>
          <w:sz w:val="22"/>
        </w:rPr>
        <w:t>1</w:t>
      </w:r>
      <w:r w:rsidR="005C7545">
        <w:rPr>
          <w:rFonts w:ascii="Arial" w:hAnsi="Arial" w:cs="Arial"/>
          <w:sz w:val="22"/>
        </w:rPr>
        <w:t xml:space="preserve"> and </w:t>
      </w:r>
      <w:r w:rsidR="00ED112C">
        <w:rPr>
          <w:rFonts w:ascii="Arial" w:hAnsi="Arial" w:cs="Arial"/>
          <w:sz w:val="22"/>
        </w:rPr>
        <w:t>1</w:t>
      </w:r>
      <w:r w:rsidR="00944A7B">
        <w:rPr>
          <w:rFonts w:ascii="Arial" w:hAnsi="Arial" w:cs="Arial"/>
          <w:sz w:val="22"/>
        </w:rPr>
        <w:t>2</w:t>
      </w:r>
      <w:r w:rsidR="00BA679F" w:rsidRPr="00B4718D">
        <w:rPr>
          <w:rFonts w:ascii="Arial" w:hAnsi="Arial" w:cs="Arial"/>
          <w:sz w:val="22"/>
        </w:rPr>
        <w:t xml:space="preserve"> </w:t>
      </w:r>
      <w:r w:rsidR="00BA679F" w:rsidRPr="00324B77">
        <w:rPr>
          <w:rFonts w:ascii="Arial" w:hAnsi="Arial" w:cs="Arial"/>
          <w:sz w:val="22"/>
        </w:rPr>
        <w:t xml:space="preserve">give a pictorial representation of the </w:t>
      </w:r>
      <w:r w:rsidR="00AE339D">
        <w:rPr>
          <w:rFonts w:ascii="Arial" w:hAnsi="Arial" w:cs="Arial"/>
          <w:sz w:val="22"/>
        </w:rPr>
        <w:t>proportion</w:t>
      </w:r>
      <w:r w:rsidR="00AE339D" w:rsidRPr="00324B77">
        <w:rPr>
          <w:rFonts w:ascii="Arial" w:hAnsi="Arial" w:cs="Arial"/>
          <w:sz w:val="22"/>
        </w:rPr>
        <w:t xml:space="preserve"> </w:t>
      </w:r>
      <w:r w:rsidR="00BA679F" w:rsidRPr="00324B77">
        <w:rPr>
          <w:rFonts w:ascii="Arial" w:hAnsi="Arial" w:cs="Arial"/>
          <w:sz w:val="22"/>
        </w:rPr>
        <w:t xml:space="preserve">of iodine contributed by </w:t>
      </w:r>
      <w:r w:rsidR="003F4511">
        <w:rPr>
          <w:rFonts w:ascii="Arial" w:hAnsi="Arial" w:cs="Arial"/>
          <w:sz w:val="22"/>
        </w:rPr>
        <w:t>the three main</w:t>
      </w:r>
      <w:r w:rsidR="00BA679F" w:rsidRPr="00324B77">
        <w:rPr>
          <w:rFonts w:ascii="Arial" w:hAnsi="Arial" w:cs="Arial"/>
          <w:sz w:val="22"/>
        </w:rPr>
        <w:t xml:space="preserve"> bread types to iodine intake from bread</w:t>
      </w:r>
      <w:r w:rsidR="003F4511">
        <w:rPr>
          <w:rFonts w:ascii="Arial" w:hAnsi="Arial" w:cs="Arial"/>
          <w:sz w:val="22"/>
        </w:rPr>
        <w:t>,</w:t>
      </w:r>
      <w:r w:rsidR="00BA679F" w:rsidRPr="00324B77">
        <w:rPr>
          <w:rFonts w:ascii="Arial" w:hAnsi="Arial" w:cs="Arial"/>
          <w:sz w:val="22"/>
        </w:rPr>
        <w:t xml:space="preserve"> for Australian adults </w:t>
      </w:r>
      <w:r w:rsidR="00BA679F" w:rsidRPr="00324B77">
        <w:rPr>
          <w:rFonts w:ascii="Arial" w:hAnsi="Arial" w:cs="Arial"/>
          <w:sz w:val="22"/>
        </w:rPr>
        <w:lastRenderedPageBreak/>
        <w:t>aged 17 years and above</w:t>
      </w:r>
      <w:r w:rsidR="005C7545">
        <w:rPr>
          <w:rFonts w:ascii="Arial" w:hAnsi="Arial" w:cs="Arial"/>
          <w:sz w:val="22"/>
        </w:rPr>
        <w:t>,</w:t>
      </w:r>
      <w:r w:rsidR="00AE339D">
        <w:rPr>
          <w:rFonts w:ascii="Arial" w:hAnsi="Arial" w:cs="Arial"/>
          <w:sz w:val="22"/>
        </w:rPr>
        <w:t xml:space="preserve"> and </w:t>
      </w:r>
      <w:r w:rsidR="00AE339D" w:rsidRPr="00324B77">
        <w:rPr>
          <w:rFonts w:ascii="Arial" w:hAnsi="Arial" w:cs="Arial"/>
          <w:sz w:val="22"/>
        </w:rPr>
        <w:t xml:space="preserve">for Australian </w:t>
      </w:r>
      <w:r w:rsidR="00F343F7">
        <w:rPr>
          <w:rFonts w:ascii="Arial" w:hAnsi="Arial" w:cs="Arial"/>
          <w:sz w:val="22"/>
        </w:rPr>
        <w:t>females</w:t>
      </w:r>
      <w:r w:rsidR="00AE339D" w:rsidRPr="00324B77">
        <w:rPr>
          <w:rFonts w:ascii="Arial" w:hAnsi="Arial" w:cs="Arial"/>
          <w:sz w:val="22"/>
        </w:rPr>
        <w:t xml:space="preserve"> of child-bearing age (16-44 years)</w:t>
      </w:r>
      <w:r w:rsidR="00AE339D">
        <w:rPr>
          <w:rFonts w:ascii="Arial" w:hAnsi="Arial" w:cs="Arial"/>
          <w:sz w:val="22"/>
        </w:rPr>
        <w:t xml:space="preserve"> respectively </w:t>
      </w:r>
      <w:r w:rsidR="00BA679F" w:rsidRPr="00324B77">
        <w:rPr>
          <w:rFonts w:ascii="Arial" w:hAnsi="Arial" w:cs="Arial"/>
          <w:sz w:val="22"/>
        </w:rPr>
        <w:t>before and after iodine fortification</w:t>
      </w:r>
      <w:r w:rsidR="006739B0">
        <w:rPr>
          <w:rFonts w:ascii="Arial" w:hAnsi="Arial" w:cs="Arial"/>
          <w:sz w:val="22"/>
        </w:rPr>
        <w:t>.</w:t>
      </w:r>
      <w:r w:rsidR="00BA679F" w:rsidRPr="00324B77">
        <w:rPr>
          <w:rFonts w:ascii="Arial" w:hAnsi="Arial" w:cs="Arial"/>
          <w:sz w:val="22"/>
        </w:rPr>
        <w:t xml:space="preserve"> </w:t>
      </w:r>
    </w:p>
    <w:p w14:paraId="5D734B80" w14:textId="77777777" w:rsidR="008105D1" w:rsidRPr="00324B77" w:rsidRDefault="00A43BB7" w:rsidP="00CC5193">
      <w:pPr>
        <w:rPr>
          <w:rFonts w:ascii="Arial" w:hAnsi="Arial" w:cs="Arial"/>
          <w:sz w:val="22"/>
        </w:rPr>
      </w:pPr>
      <w:r w:rsidRPr="00A43BB7">
        <w:rPr>
          <w:noProof/>
          <w:lang w:eastAsia="en-GB"/>
        </w:rPr>
        <w:drawing>
          <wp:inline distT="0" distB="0" distL="0" distR="0" wp14:anchorId="5D734D79" wp14:editId="3936B9F2">
            <wp:extent cx="5752849" cy="2819400"/>
            <wp:effectExtent l="0" t="0" r="635" b="0"/>
            <wp:docPr id="15" name="Picture 15" title="Figure 11: Contribution of bread type to iodine intake from breads (%) - Australians 17 years old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2822635"/>
                    </a:xfrm>
                    <a:prstGeom prst="rect">
                      <a:avLst/>
                    </a:prstGeom>
                    <a:noFill/>
                    <a:ln>
                      <a:noFill/>
                    </a:ln>
                  </pic:spPr>
                </pic:pic>
              </a:graphicData>
            </a:graphic>
          </wp:inline>
        </w:drawing>
      </w:r>
    </w:p>
    <w:p w14:paraId="5D734B83" w14:textId="2C887538" w:rsidR="005C7545" w:rsidRDefault="00A43BB7" w:rsidP="006B57A7">
      <w:pPr>
        <w:pStyle w:val="Caption"/>
        <w:spacing w:after="200" w:line="276" w:lineRule="auto"/>
        <w:rPr>
          <w:sz w:val="20"/>
        </w:rPr>
      </w:pPr>
      <w:bookmarkStart w:id="46" w:name="_Toc430854557"/>
      <w:r w:rsidRPr="00A43BB7">
        <w:rPr>
          <w:sz w:val="20"/>
        </w:rPr>
        <w:t xml:space="preserve">Figure </w:t>
      </w:r>
      <w:r w:rsidR="001E1660">
        <w:fldChar w:fldCharType="begin"/>
      </w:r>
      <w:r w:rsidR="001E1660">
        <w:instrText xml:space="preserve"> SEQ Figure \* ARABIC </w:instrText>
      </w:r>
      <w:r w:rsidR="001E1660">
        <w:fldChar w:fldCharType="separate"/>
      </w:r>
      <w:r w:rsidR="00A41217">
        <w:rPr>
          <w:noProof/>
        </w:rPr>
        <w:t>11</w:t>
      </w:r>
      <w:r w:rsidR="001E1660">
        <w:rPr>
          <w:noProof/>
        </w:rPr>
        <w:fldChar w:fldCharType="end"/>
      </w:r>
      <w:r w:rsidRPr="00A43BB7">
        <w:rPr>
          <w:sz w:val="20"/>
        </w:rPr>
        <w:t>: Contribution of bread type to iodine intake from breads (%) - Australians 17 years</w:t>
      </w:r>
      <w:r w:rsidR="0059768E">
        <w:rPr>
          <w:sz w:val="20"/>
        </w:rPr>
        <w:t xml:space="preserve"> old</w:t>
      </w:r>
      <w:r w:rsidRPr="00A43BB7">
        <w:rPr>
          <w:sz w:val="20"/>
        </w:rPr>
        <w:t xml:space="preserve"> and above</w:t>
      </w:r>
      <w:bookmarkEnd w:id="46"/>
    </w:p>
    <w:p w14:paraId="1B017907" w14:textId="77777777" w:rsidR="006B57A7" w:rsidRPr="006B57A7" w:rsidRDefault="006B57A7" w:rsidP="006B57A7">
      <w:pPr>
        <w:spacing w:after="0" w:line="240" w:lineRule="auto"/>
        <w:rPr>
          <w:lang w:val="en-AU" w:eastAsia="en-AU"/>
        </w:rPr>
      </w:pPr>
    </w:p>
    <w:p w14:paraId="5D734B84" w14:textId="77777777" w:rsidR="00A43BB7" w:rsidRPr="00A43BB7" w:rsidRDefault="00A43BB7" w:rsidP="00CC5193">
      <w:pPr>
        <w:rPr>
          <w:lang w:val="en-AU" w:eastAsia="en-AU"/>
        </w:rPr>
      </w:pPr>
      <w:r w:rsidRPr="00A43BB7">
        <w:rPr>
          <w:noProof/>
          <w:lang w:eastAsia="en-GB"/>
        </w:rPr>
        <w:drawing>
          <wp:inline distT="0" distB="0" distL="0" distR="0" wp14:anchorId="5D734D7B" wp14:editId="1D0168A3">
            <wp:extent cx="5760720" cy="2788920"/>
            <wp:effectExtent l="0" t="0" r="0" b="0"/>
            <wp:docPr id="16" name="Picture 16" title="Figure 12: Contribution of bread type to iodine intake from breads (%) - Australian females aged 16-44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2788305"/>
                    </a:xfrm>
                    <a:prstGeom prst="rect">
                      <a:avLst/>
                    </a:prstGeom>
                    <a:noFill/>
                    <a:ln>
                      <a:noFill/>
                    </a:ln>
                  </pic:spPr>
                </pic:pic>
              </a:graphicData>
            </a:graphic>
          </wp:inline>
        </w:drawing>
      </w:r>
    </w:p>
    <w:p w14:paraId="5D734B85" w14:textId="488B764D" w:rsidR="00130479" w:rsidRPr="0059768E" w:rsidRDefault="00EA3F43" w:rsidP="00EA3F43">
      <w:pPr>
        <w:pStyle w:val="Caption"/>
        <w:rPr>
          <w:rFonts w:cs="Arial"/>
          <w:sz w:val="20"/>
        </w:rPr>
      </w:pPr>
      <w:bookmarkStart w:id="47" w:name="_Toc430854558"/>
      <w:r>
        <w:t xml:space="preserve">Figure </w:t>
      </w:r>
      <w:r w:rsidR="001E1660">
        <w:fldChar w:fldCharType="begin"/>
      </w:r>
      <w:r w:rsidR="001E1660">
        <w:instrText xml:space="preserve"> SEQ Figure \* ARABIC </w:instrText>
      </w:r>
      <w:r w:rsidR="001E1660">
        <w:fldChar w:fldCharType="separate"/>
      </w:r>
      <w:r w:rsidR="00A41217">
        <w:rPr>
          <w:noProof/>
        </w:rPr>
        <w:t>12</w:t>
      </w:r>
      <w:r w:rsidR="001E1660">
        <w:rPr>
          <w:noProof/>
        </w:rPr>
        <w:fldChar w:fldCharType="end"/>
      </w:r>
      <w:r>
        <w:t>: Contribution of bread type to iodine intake from breads (%) - Australian females aged 16-44 years</w:t>
      </w:r>
      <w:bookmarkEnd w:id="47"/>
      <w:r>
        <w:t xml:space="preserve"> </w:t>
      </w:r>
    </w:p>
    <w:p w14:paraId="5D734B86" w14:textId="77777777" w:rsidR="008A27EB" w:rsidRDefault="008A27EB" w:rsidP="00CC5193">
      <w:pPr>
        <w:rPr>
          <w:rFonts w:ascii="Arial" w:hAnsi="Arial" w:cs="Arial"/>
          <w:sz w:val="22"/>
        </w:rPr>
      </w:pPr>
    </w:p>
    <w:p w14:paraId="5D734B87" w14:textId="77777777" w:rsidR="00F71B3D" w:rsidRPr="00EF198C" w:rsidRDefault="00F71B3D" w:rsidP="00F71B3D">
      <w:pPr>
        <w:pStyle w:val="Heading1"/>
        <w:spacing w:after="200"/>
        <w:ind w:left="1134" w:hanging="1134"/>
        <w:rPr>
          <w:rFonts w:ascii="Arial" w:hAnsi="Arial" w:cs="Arial"/>
          <w:sz w:val="24"/>
          <w:szCs w:val="24"/>
        </w:rPr>
      </w:pPr>
      <w:bookmarkStart w:id="48" w:name="_Toc430854518"/>
      <w:r>
        <w:rPr>
          <w:rFonts w:ascii="Arial" w:hAnsi="Arial" w:cs="Arial"/>
          <w:sz w:val="24"/>
          <w:szCs w:val="24"/>
        </w:rPr>
        <w:lastRenderedPageBreak/>
        <w:t xml:space="preserve">8.0 </w:t>
      </w:r>
      <w:r w:rsidR="00192456">
        <w:rPr>
          <w:rFonts w:ascii="Arial" w:hAnsi="Arial" w:cs="Arial"/>
          <w:sz w:val="24"/>
          <w:szCs w:val="24"/>
        </w:rPr>
        <w:tab/>
      </w:r>
      <w:r w:rsidR="00192456">
        <w:rPr>
          <w:rFonts w:ascii="Arial" w:hAnsi="Arial" w:cs="Arial"/>
          <w:sz w:val="24"/>
          <w:szCs w:val="24"/>
        </w:rPr>
        <w:tab/>
      </w:r>
      <w:r w:rsidRPr="00EF198C">
        <w:rPr>
          <w:rFonts w:ascii="Arial" w:hAnsi="Arial" w:cs="Arial"/>
          <w:sz w:val="24"/>
          <w:szCs w:val="24"/>
        </w:rPr>
        <w:t xml:space="preserve">Comparison of the current dietary </w:t>
      </w:r>
      <w:r w:rsidR="00E96406">
        <w:rPr>
          <w:rFonts w:ascii="Arial" w:hAnsi="Arial" w:cs="Arial"/>
          <w:sz w:val="24"/>
          <w:szCs w:val="24"/>
        </w:rPr>
        <w:t xml:space="preserve">usual </w:t>
      </w:r>
      <w:r w:rsidRPr="00EF198C">
        <w:rPr>
          <w:rFonts w:ascii="Arial" w:hAnsi="Arial" w:cs="Arial"/>
          <w:sz w:val="24"/>
          <w:szCs w:val="24"/>
        </w:rPr>
        <w:t>iodine</w:t>
      </w:r>
      <w:r w:rsidR="00192456">
        <w:rPr>
          <w:rFonts w:ascii="Arial" w:hAnsi="Arial" w:cs="Arial"/>
          <w:sz w:val="24"/>
          <w:szCs w:val="24"/>
        </w:rPr>
        <w:t xml:space="preserve"> intake estimates to previously </w:t>
      </w:r>
      <w:r w:rsidRPr="00EF198C">
        <w:rPr>
          <w:rFonts w:ascii="Arial" w:hAnsi="Arial" w:cs="Arial"/>
          <w:sz w:val="24"/>
          <w:szCs w:val="24"/>
        </w:rPr>
        <w:t>predicted estimates</w:t>
      </w:r>
      <w:bookmarkEnd w:id="48"/>
    </w:p>
    <w:p w14:paraId="5D734B88" w14:textId="77777777" w:rsidR="00F71B3D" w:rsidRPr="001D3A88" w:rsidRDefault="00F71B3D" w:rsidP="00F71B3D">
      <w:pPr>
        <w:rPr>
          <w:rFonts w:ascii="Arial" w:hAnsi="Arial" w:cs="Arial"/>
          <w:sz w:val="22"/>
        </w:rPr>
      </w:pPr>
      <w:r w:rsidRPr="001D3A88">
        <w:rPr>
          <w:rFonts w:ascii="Arial" w:hAnsi="Arial" w:cs="Arial"/>
          <w:sz w:val="22"/>
        </w:rPr>
        <w:t xml:space="preserve">The increases in </w:t>
      </w:r>
      <w:r>
        <w:rPr>
          <w:rFonts w:ascii="Arial" w:hAnsi="Arial" w:cs="Arial"/>
          <w:sz w:val="22"/>
        </w:rPr>
        <w:t xml:space="preserve">estimated </w:t>
      </w:r>
      <w:r w:rsidRPr="001D3A88">
        <w:rPr>
          <w:rFonts w:ascii="Arial" w:hAnsi="Arial" w:cs="Arial"/>
          <w:sz w:val="22"/>
        </w:rPr>
        <w:t xml:space="preserve">mean </w:t>
      </w:r>
      <w:r w:rsidR="00E96406">
        <w:rPr>
          <w:rFonts w:ascii="Arial" w:hAnsi="Arial" w:cs="Arial"/>
          <w:sz w:val="22"/>
        </w:rPr>
        <w:t xml:space="preserve">usual </w:t>
      </w:r>
      <w:r>
        <w:rPr>
          <w:rFonts w:ascii="Arial" w:hAnsi="Arial" w:cs="Arial"/>
          <w:sz w:val="22"/>
        </w:rPr>
        <w:t xml:space="preserve">iodine </w:t>
      </w:r>
      <w:r w:rsidRPr="001D3A88">
        <w:rPr>
          <w:rFonts w:ascii="Arial" w:hAnsi="Arial" w:cs="Arial"/>
          <w:sz w:val="22"/>
        </w:rPr>
        <w:t xml:space="preserve">intake values </w:t>
      </w:r>
      <w:r>
        <w:rPr>
          <w:rFonts w:ascii="Arial" w:hAnsi="Arial" w:cs="Arial"/>
          <w:sz w:val="22"/>
        </w:rPr>
        <w:t xml:space="preserve">after fortification </w:t>
      </w:r>
      <w:r w:rsidRPr="001D3A88">
        <w:rPr>
          <w:rFonts w:ascii="Arial" w:hAnsi="Arial" w:cs="Arial"/>
          <w:sz w:val="22"/>
        </w:rPr>
        <w:t xml:space="preserve">and the decrease in the proportion of the different population sub-groups with inadequate iodine intake </w:t>
      </w:r>
      <w:r>
        <w:rPr>
          <w:rFonts w:ascii="Arial" w:hAnsi="Arial" w:cs="Arial"/>
          <w:sz w:val="22"/>
        </w:rPr>
        <w:t>were</w:t>
      </w:r>
      <w:r w:rsidRPr="001D3A88">
        <w:rPr>
          <w:rFonts w:ascii="Arial" w:hAnsi="Arial" w:cs="Arial"/>
          <w:sz w:val="22"/>
        </w:rPr>
        <w:t xml:space="preserve"> similar to the predicted values in some cases and more than predicted in others</w:t>
      </w:r>
      <w:r>
        <w:rPr>
          <w:rFonts w:ascii="Arial" w:hAnsi="Arial" w:cs="Arial"/>
          <w:sz w:val="22"/>
        </w:rPr>
        <w:t xml:space="preserve"> </w:t>
      </w:r>
    </w:p>
    <w:p w14:paraId="5D734B89" w14:textId="77777777" w:rsidR="002B62A7" w:rsidRPr="001D3A88" w:rsidRDefault="00F71B3D" w:rsidP="002B62A7">
      <w:pPr>
        <w:rPr>
          <w:rFonts w:ascii="Arial" w:hAnsi="Arial" w:cs="Arial"/>
          <w:sz w:val="22"/>
        </w:rPr>
      </w:pPr>
      <w:r w:rsidRPr="001D3A88">
        <w:rPr>
          <w:rFonts w:ascii="Arial" w:hAnsi="Arial" w:cs="Arial"/>
          <w:sz w:val="22"/>
        </w:rPr>
        <w:t xml:space="preserve">However, it should be noted that the population </w:t>
      </w:r>
      <w:r w:rsidR="00E96406">
        <w:rPr>
          <w:rFonts w:ascii="Arial" w:hAnsi="Arial" w:cs="Arial"/>
          <w:sz w:val="22"/>
        </w:rPr>
        <w:t xml:space="preserve">usual </w:t>
      </w:r>
      <w:r w:rsidRPr="001D3A88">
        <w:rPr>
          <w:rFonts w:ascii="Arial" w:hAnsi="Arial" w:cs="Arial"/>
          <w:sz w:val="22"/>
        </w:rPr>
        <w:t xml:space="preserve">iodine intake estimates given in this report, for children aged 2 to 16 years, cannot be directly compared with the predicted estimates provided for the same age group in the Australian population </w:t>
      </w:r>
      <w:r>
        <w:rPr>
          <w:rFonts w:ascii="Arial" w:hAnsi="Arial" w:cs="Arial"/>
          <w:sz w:val="22"/>
        </w:rPr>
        <w:t>during FSANZ’s</w:t>
      </w:r>
      <w:r w:rsidRPr="001D3A88">
        <w:rPr>
          <w:rFonts w:ascii="Arial" w:hAnsi="Arial" w:cs="Arial"/>
          <w:sz w:val="22"/>
        </w:rPr>
        <w:t xml:space="preserve"> development of the iodine fortification standard</w:t>
      </w:r>
      <w:r>
        <w:rPr>
          <w:rFonts w:ascii="Arial" w:hAnsi="Arial" w:cs="Arial"/>
          <w:sz w:val="22"/>
        </w:rPr>
        <w:t xml:space="preserve"> </w:t>
      </w:r>
      <w:r w:rsidRPr="004A0500">
        <w:rPr>
          <w:rFonts w:ascii="Arial" w:hAnsi="Arial" w:cs="Arial"/>
          <w:sz w:val="22"/>
        </w:rPr>
        <w:t>(FSANZ 2008).</w:t>
      </w:r>
      <w:r w:rsidRPr="001D3A88">
        <w:rPr>
          <w:rFonts w:ascii="Arial" w:hAnsi="Arial" w:cs="Arial"/>
          <w:sz w:val="22"/>
        </w:rPr>
        <w:t xml:space="preserve"> </w:t>
      </w:r>
      <w:r>
        <w:rPr>
          <w:rFonts w:ascii="Arial" w:hAnsi="Arial" w:cs="Arial"/>
          <w:sz w:val="22"/>
        </w:rPr>
        <w:t xml:space="preserve">The current estimates </w:t>
      </w:r>
      <w:r w:rsidR="002B62A7">
        <w:rPr>
          <w:rFonts w:ascii="Arial" w:hAnsi="Arial" w:cs="Arial"/>
          <w:sz w:val="22"/>
        </w:rPr>
        <w:t>were derived from</w:t>
      </w:r>
      <w:r>
        <w:rPr>
          <w:rFonts w:ascii="Arial" w:hAnsi="Arial" w:cs="Arial"/>
          <w:sz w:val="22"/>
        </w:rPr>
        <w:t xml:space="preserve"> the </w:t>
      </w:r>
      <w:r w:rsidRPr="00AE5F2E">
        <w:rPr>
          <w:rFonts w:ascii="Arial" w:hAnsi="Arial" w:cs="Arial"/>
          <w:sz w:val="22"/>
          <w:lang w:val="en-AU" w:eastAsia="en-AU"/>
        </w:rPr>
        <w:t>2007 ANCNPAS</w:t>
      </w:r>
      <w:r>
        <w:rPr>
          <w:rFonts w:ascii="Arial" w:hAnsi="Arial" w:cs="Arial"/>
          <w:sz w:val="22"/>
          <w:lang w:val="en-AU" w:eastAsia="en-AU"/>
        </w:rPr>
        <w:t xml:space="preserve"> for children, rather than the1995 NNS used in the 2008 report.</w:t>
      </w:r>
      <w:r>
        <w:rPr>
          <w:rFonts w:ascii="Arial" w:hAnsi="Arial" w:cs="Arial"/>
          <w:sz w:val="22"/>
        </w:rPr>
        <w:t xml:space="preserve"> T</w:t>
      </w:r>
      <w:r w:rsidRPr="001D3A88">
        <w:rPr>
          <w:rFonts w:ascii="Arial" w:hAnsi="Arial" w:cs="Arial"/>
          <w:sz w:val="22"/>
        </w:rPr>
        <w:t xml:space="preserve">he sampling methodologies used for </w:t>
      </w:r>
      <w:r>
        <w:rPr>
          <w:rFonts w:ascii="Arial" w:hAnsi="Arial" w:cs="Arial"/>
          <w:sz w:val="22"/>
        </w:rPr>
        <w:t>these</w:t>
      </w:r>
      <w:r w:rsidRPr="001D3A88">
        <w:rPr>
          <w:rFonts w:ascii="Arial" w:hAnsi="Arial" w:cs="Arial"/>
          <w:sz w:val="22"/>
        </w:rPr>
        <w:t xml:space="preserve"> </w:t>
      </w:r>
      <w:r>
        <w:rPr>
          <w:rFonts w:ascii="Arial" w:hAnsi="Arial" w:cs="Arial"/>
          <w:sz w:val="22"/>
        </w:rPr>
        <w:t xml:space="preserve">two nutrition surveys </w:t>
      </w:r>
      <w:r w:rsidRPr="001D3A88">
        <w:rPr>
          <w:rFonts w:ascii="Arial" w:hAnsi="Arial" w:cs="Arial"/>
          <w:sz w:val="22"/>
        </w:rPr>
        <w:t xml:space="preserve">and the questions asked, </w:t>
      </w:r>
      <w:r>
        <w:rPr>
          <w:rFonts w:ascii="Arial" w:hAnsi="Arial" w:cs="Arial"/>
          <w:sz w:val="22"/>
        </w:rPr>
        <w:t>were</w:t>
      </w:r>
      <w:r w:rsidRPr="001D3A88">
        <w:rPr>
          <w:rFonts w:ascii="Arial" w:hAnsi="Arial" w:cs="Arial"/>
          <w:sz w:val="22"/>
        </w:rPr>
        <w:t xml:space="preserve"> not identical. Similarly, the food composition tables for the two surveys also differ slightly, due to new foods types introduced into the market place after the 1995 survey up to the time of the period of the 2007 survey. Further, there </w:t>
      </w:r>
      <w:r>
        <w:rPr>
          <w:rFonts w:ascii="Arial" w:hAnsi="Arial" w:cs="Arial"/>
          <w:sz w:val="22"/>
        </w:rPr>
        <w:t>could be some</w:t>
      </w:r>
      <w:r w:rsidRPr="001D3A88">
        <w:rPr>
          <w:rFonts w:ascii="Arial" w:hAnsi="Arial" w:cs="Arial"/>
          <w:sz w:val="22"/>
        </w:rPr>
        <w:t xml:space="preserve"> differences in the food analytical methods used to determine the amount of iodine present in the foods consumed for the 1995 and 2007 food composition data.</w:t>
      </w:r>
      <w:r w:rsidR="002B62A7">
        <w:rPr>
          <w:rFonts w:ascii="Arial" w:hAnsi="Arial" w:cs="Arial"/>
          <w:sz w:val="22"/>
        </w:rPr>
        <w:t xml:space="preserve"> </w:t>
      </w:r>
      <w:r w:rsidR="002B62A7" w:rsidRPr="001D3A88">
        <w:rPr>
          <w:rFonts w:ascii="Arial" w:hAnsi="Arial" w:cs="Arial"/>
          <w:sz w:val="22"/>
        </w:rPr>
        <w:t xml:space="preserve">The use of a custom model </w:t>
      </w:r>
      <w:r w:rsidR="002B62A7" w:rsidRPr="001D3A88">
        <w:rPr>
          <w:rFonts w:ascii="Arial" w:eastAsia="Calibri" w:hAnsi="Arial" w:cs="Arial"/>
          <w:sz w:val="22"/>
        </w:rPr>
        <w:t>that is a hybrid of the nutrient intake methodology and the Australian Total Diet Study methodology mean</w:t>
      </w:r>
      <w:r w:rsidR="002B62A7">
        <w:rPr>
          <w:rFonts w:ascii="Arial" w:eastAsia="Calibri" w:hAnsi="Arial" w:cs="Arial"/>
          <w:sz w:val="22"/>
        </w:rPr>
        <w:t>t</w:t>
      </w:r>
      <w:r w:rsidR="002B62A7" w:rsidRPr="001D3A88">
        <w:rPr>
          <w:rFonts w:ascii="Arial" w:eastAsia="Calibri" w:hAnsi="Arial" w:cs="Arial"/>
          <w:sz w:val="22"/>
        </w:rPr>
        <w:t xml:space="preserve"> the assessment methodology used in this report </w:t>
      </w:r>
      <w:r w:rsidR="002B62A7">
        <w:rPr>
          <w:rFonts w:ascii="Arial" w:eastAsia="Calibri" w:hAnsi="Arial" w:cs="Arial"/>
          <w:sz w:val="22"/>
        </w:rPr>
        <w:t xml:space="preserve">was also </w:t>
      </w:r>
      <w:r w:rsidR="002B62A7" w:rsidRPr="001D3A88">
        <w:rPr>
          <w:rFonts w:ascii="Arial" w:eastAsia="Calibri" w:hAnsi="Arial" w:cs="Arial"/>
          <w:sz w:val="22"/>
        </w:rPr>
        <w:t>different from that used for the previous estimates for development of the fortification standard. The custom model</w:t>
      </w:r>
      <w:r w:rsidR="002B62A7" w:rsidRPr="001D3A88">
        <w:rPr>
          <w:rFonts w:ascii="Arial" w:hAnsi="Arial" w:cs="Arial"/>
          <w:sz w:val="22"/>
        </w:rPr>
        <w:t xml:space="preserve"> enabled the use of recipes to calculate and allocate in a single step the amount of iodine from use of the fortified foods, discretionary iodised salt and from mixed foods that contain ingredients that are fortified. </w:t>
      </w:r>
    </w:p>
    <w:p w14:paraId="5D734B8A" w14:textId="77777777" w:rsidR="00F71B3D" w:rsidRPr="001D3A88" w:rsidRDefault="00F71B3D" w:rsidP="00F71B3D">
      <w:pPr>
        <w:rPr>
          <w:rFonts w:ascii="Arial" w:hAnsi="Arial" w:cs="Arial"/>
          <w:sz w:val="22"/>
        </w:rPr>
      </w:pPr>
      <w:r w:rsidRPr="001D3A88">
        <w:rPr>
          <w:rFonts w:ascii="Arial" w:hAnsi="Arial" w:cs="Arial"/>
          <w:sz w:val="22"/>
        </w:rPr>
        <w:t xml:space="preserve">The differences in the two surveys and their related food composition data sets meant that the pre-fortification dietary </w:t>
      </w:r>
      <w:r w:rsidR="00E96406">
        <w:rPr>
          <w:rFonts w:ascii="Arial" w:hAnsi="Arial" w:cs="Arial"/>
          <w:sz w:val="22"/>
        </w:rPr>
        <w:t xml:space="preserve">usual </w:t>
      </w:r>
      <w:r w:rsidRPr="001D3A88">
        <w:rPr>
          <w:rFonts w:ascii="Arial" w:hAnsi="Arial" w:cs="Arial"/>
          <w:sz w:val="22"/>
        </w:rPr>
        <w:t xml:space="preserve">iodine intake estimates needed to be re-calculated </w:t>
      </w:r>
      <w:r>
        <w:rPr>
          <w:rFonts w:ascii="Arial" w:hAnsi="Arial" w:cs="Arial"/>
          <w:sz w:val="22"/>
        </w:rPr>
        <w:t xml:space="preserve">for this report for children </w:t>
      </w:r>
      <w:r w:rsidRPr="001D3A88">
        <w:rPr>
          <w:rFonts w:ascii="Arial" w:hAnsi="Arial" w:cs="Arial"/>
          <w:sz w:val="22"/>
        </w:rPr>
        <w:t xml:space="preserve">to ensure that the post-fortification iodine intake estimates </w:t>
      </w:r>
      <w:r>
        <w:rPr>
          <w:rFonts w:ascii="Arial" w:hAnsi="Arial" w:cs="Arial"/>
          <w:sz w:val="22"/>
        </w:rPr>
        <w:t>could</w:t>
      </w:r>
      <w:r w:rsidRPr="001D3A88">
        <w:rPr>
          <w:rFonts w:ascii="Arial" w:hAnsi="Arial" w:cs="Arial"/>
          <w:sz w:val="22"/>
        </w:rPr>
        <w:t xml:space="preserve"> be compared with the appropriate baseline values. </w:t>
      </w:r>
      <w:r w:rsidR="006C5256">
        <w:rPr>
          <w:rFonts w:ascii="Arial" w:hAnsi="Arial" w:cs="Arial"/>
          <w:sz w:val="22"/>
        </w:rPr>
        <w:t>T</w:t>
      </w:r>
      <w:r>
        <w:rPr>
          <w:rFonts w:ascii="Arial" w:hAnsi="Arial" w:cs="Arial"/>
          <w:sz w:val="22"/>
        </w:rPr>
        <w:t xml:space="preserve">he pre-fortification estimates were </w:t>
      </w:r>
      <w:r w:rsidR="00224DB4">
        <w:rPr>
          <w:rFonts w:ascii="Arial" w:hAnsi="Arial" w:cs="Arial"/>
          <w:sz w:val="22"/>
        </w:rPr>
        <w:t>of</w:t>
      </w:r>
      <w:r>
        <w:rPr>
          <w:rFonts w:ascii="Arial" w:hAnsi="Arial" w:cs="Arial"/>
          <w:sz w:val="22"/>
        </w:rPr>
        <w:t xml:space="preserve"> the same order of magnitude.</w:t>
      </w:r>
    </w:p>
    <w:p w14:paraId="5D734B8B" w14:textId="77777777" w:rsidR="00F71B3D" w:rsidRDefault="00F71B3D" w:rsidP="00CC5193">
      <w:pPr>
        <w:rPr>
          <w:rFonts w:ascii="Arial" w:hAnsi="Arial" w:cs="Arial"/>
          <w:sz w:val="22"/>
        </w:rPr>
      </w:pPr>
    </w:p>
    <w:p w14:paraId="5D734B8C" w14:textId="77777777" w:rsidR="00130479" w:rsidRPr="00EF198C" w:rsidRDefault="00F71B3D" w:rsidP="00CC5193">
      <w:pPr>
        <w:pStyle w:val="Heading1"/>
        <w:spacing w:after="200"/>
        <w:ind w:left="0" w:firstLine="0"/>
        <w:rPr>
          <w:rFonts w:ascii="Arial" w:hAnsi="Arial" w:cs="Arial"/>
          <w:sz w:val="24"/>
          <w:szCs w:val="24"/>
        </w:rPr>
      </w:pPr>
      <w:bookmarkStart w:id="49" w:name="_Toc430854519"/>
      <w:r>
        <w:rPr>
          <w:rFonts w:ascii="Arial" w:hAnsi="Arial" w:cs="Arial"/>
          <w:sz w:val="24"/>
          <w:szCs w:val="24"/>
        </w:rPr>
        <w:t>9</w:t>
      </w:r>
      <w:r w:rsidR="008A27EB" w:rsidRPr="00EF198C">
        <w:rPr>
          <w:rFonts w:ascii="Arial" w:hAnsi="Arial" w:cs="Arial"/>
          <w:sz w:val="24"/>
          <w:szCs w:val="24"/>
        </w:rPr>
        <w:t>.0</w:t>
      </w:r>
      <w:r w:rsidR="008A27EB" w:rsidRPr="00EF198C">
        <w:rPr>
          <w:rFonts w:ascii="Arial" w:hAnsi="Arial" w:cs="Arial"/>
          <w:sz w:val="24"/>
          <w:szCs w:val="24"/>
        </w:rPr>
        <w:tab/>
      </w:r>
      <w:r w:rsidR="008A27EB" w:rsidRPr="00EF198C">
        <w:rPr>
          <w:rFonts w:ascii="Arial" w:hAnsi="Arial" w:cs="Arial"/>
          <w:sz w:val="24"/>
          <w:szCs w:val="24"/>
        </w:rPr>
        <w:tab/>
      </w:r>
      <w:r w:rsidR="002B4CBA" w:rsidRPr="00EF198C">
        <w:rPr>
          <w:rFonts w:ascii="Arial" w:hAnsi="Arial" w:cs="Arial"/>
          <w:sz w:val="24"/>
          <w:szCs w:val="24"/>
        </w:rPr>
        <w:t>Conclusion</w:t>
      </w:r>
      <w:bookmarkEnd w:id="49"/>
    </w:p>
    <w:p w14:paraId="5D734B8D" w14:textId="77777777" w:rsidR="00EA44E6" w:rsidRDefault="00EA44E6" w:rsidP="00CC5193">
      <w:pPr>
        <w:pStyle w:val="Bodytextnew"/>
        <w:spacing w:before="0" w:after="200" w:line="276" w:lineRule="auto"/>
        <w:jc w:val="left"/>
        <w:rPr>
          <w:rFonts w:ascii="Arial" w:hAnsi="Arial" w:cs="Arial"/>
          <w:color w:val="auto"/>
          <w:sz w:val="22"/>
          <w:szCs w:val="22"/>
        </w:rPr>
      </w:pPr>
      <w:r>
        <w:rPr>
          <w:rFonts w:ascii="Arial" w:hAnsi="Arial" w:cs="Arial"/>
          <w:color w:val="auto"/>
          <w:sz w:val="22"/>
          <w:szCs w:val="22"/>
        </w:rPr>
        <w:t>T</w:t>
      </w:r>
      <w:r w:rsidR="0019028A">
        <w:rPr>
          <w:rFonts w:ascii="Arial" w:hAnsi="Arial" w:cs="Arial"/>
          <w:color w:val="auto"/>
          <w:sz w:val="22"/>
          <w:szCs w:val="22"/>
        </w:rPr>
        <w:t>he iodine intake est</w:t>
      </w:r>
      <w:r>
        <w:rPr>
          <w:rFonts w:ascii="Arial" w:hAnsi="Arial" w:cs="Arial"/>
          <w:color w:val="auto"/>
          <w:sz w:val="22"/>
          <w:szCs w:val="22"/>
        </w:rPr>
        <w:t xml:space="preserve">imates provided in this report indicate </w:t>
      </w:r>
      <w:r w:rsidR="0019028A">
        <w:rPr>
          <w:rFonts w:ascii="Arial" w:hAnsi="Arial" w:cs="Arial"/>
          <w:color w:val="auto"/>
          <w:sz w:val="22"/>
          <w:szCs w:val="22"/>
        </w:rPr>
        <w:t>that i</w:t>
      </w:r>
      <w:r w:rsidR="008A27EB" w:rsidRPr="008A27EB">
        <w:rPr>
          <w:rFonts w:ascii="Arial" w:hAnsi="Arial" w:cs="Arial"/>
          <w:color w:val="auto"/>
          <w:sz w:val="22"/>
          <w:szCs w:val="22"/>
        </w:rPr>
        <w:t xml:space="preserve">odine fortification of </w:t>
      </w:r>
      <w:r w:rsidR="006739B0">
        <w:rPr>
          <w:rFonts w:ascii="Arial" w:hAnsi="Arial" w:cs="Arial"/>
          <w:color w:val="auto"/>
          <w:sz w:val="22"/>
          <w:szCs w:val="22"/>
        </w:rPr>
        <w:t xml:space="preserve">salt used in </w:t>
      </w:r>
      <w:r w:rsidR="005C7545">
        <w:rPr>
          <w:rFonts w:ascii="Arial" w:hAnsi="Arial" w:cs="Arial"/>
          <w:color w:val="auto"/>
          <w:sz w:val="22"/>
          <w:szCs w:val="22"/>
        </w:rPr>
        <w:t>making</w:t>
      </w:r>
      <w:r w:rsidR="005C7545" w:rsidRPr="008A27EB">
        <w:rPr>
          <w:rFonts w:ascii="Arial" w:hAnsi="Arial" w:cs="Arial"/>
          <w:color w:val="auto"/>
          <w:sz w:val="22"/>
          <w:szCs w:val="22"/>
        </w:rPr>
        <w:t xml:space="preserve"> </w:t>
      </w:r>
      <w:r w:rsidR="008A27EB" w:rsidRPr="008A27EB">
        <w:rPr>
          <w:rFonts w:ascii="Arial" w:hAnsi="Arial" w:cs="Arial"/>
          <w:color w:val="auto"/>
          <w:sz w:val="22"/>
          <w:szCs w:val="22"/>
        </w:rPr>
        <w:t xml:space="preserve">bread has brought about a substantial increase in the </w:t>
      </w:r>
      <w:r w:rsidR="00D76F0A">
        <w:rPr>
          <w:rFonts w:ascii="Arial" w:hAnsi="Arial" w:cs="Arial"/>
          <w:color w:val="auto"/>
          <w:sz w:val="22"/>
          <w:szCs w:val="22"/>
        </w:rPr>
        <w:t xml:space="preserve">estimated </w:t>
      </w:r>
      <w:r w:rsidR="008A27EB" w:rsidRPr="008A27EB">
        <w:rPr>
          <w:rFonts w:ascii="Arial" w:hAnsi="Arial" w:cs="Arial"/>
          <w:color w:val="auto"/>
          <w:sz w:val="22"/>
          <w:szCs w:val="22"/>
        </w:rPr>
        <w:t xml:space="preserve">mean dietary </w:t>
      </w:r>
      <w:r w:rsidR="00E96406">
        <w:rPr>
          <w:rFonts w:ascii="Arial" w:hAnsi="Arial" w:cs="Arial"/>
          <w:color w:val="auto"/>
          <w:sz w:val="22"/>
          <w:szCs w:val="22"/>
        </w:rPr>
        <w:t xml:space="preserve">usual </w:t>
      </w:r>
      <w:r w:rsidR="008A27EB" w:rsidRPr="008A27EB">
        <w:rPr>
          <w:rFonts w:ascii="Arial" w:hAnsi="Arial" w:cs="Arial"/>
          <w:color w:val="auto"/>
          <w:sz w:val="22"/>
          <w:szCs w:val="22"/>
        </w:rPr>
        <w:t xml:space="preserve">iodine intake for all Australians, particularly the target groups. </w:t>
      </w:r>
    </w:p>
    <w:p w14:paraId="5D734B8E" w14:textId="77777777" w:rsidR="00EA44E6" w:rsidRDefault="00001BB6" w:rsidP="00CC5193">
      <w:pPr>
        <w:pStyle w:val="Bodytextnew"/>
        <w:spacing w:before="0" w:after="200" w:line="276" w:lineRule="auto"/>
        <w:jc w:val="left"/>
        <w:rPr>
          <w:rFonts w:ascii="Arial" w:hAnsi="Arial" w:cs="Arial"/>
          <w:color w:val="auto"/>
          <w:sz w:val="22"/>
          <w:szCs w:val="22"/>
        </w:rPr>
      </w:pPr>
      <w:r>
        <w:rPr>
          <w:rFonts w:ascii="Arial" w:hAnsi="Arial" w:cs="Arial"/>
          <w:color w:val="auto"/>
          <w:sz w:val="22"/>
          <w:szCs w:val="22"/>
        </w:rPr>
        <w:t>I</w:t>
      </w:r>
      <w:r w:rsidR="006739B0">
        <w:rPr>
          <w:rFonts w:ascii="Arial" w:hAnsi="Arial" w:cs="Arial"/>
          <w:color w:val="auto"/>
          <w:sz w:val="22"/>
          <w:szCs w:val="22"/>
        </w:rPr>
        <w:t xml:space="preserve">t is noted that </w:t>
      </w:r>
      <w:r w:rsidR="00EA44E6">
        <w:rPr>
          <w:rFonts w:ascii="Arial" w:hAnsi="Arial" w:cs="Arial"/>
          <w:color w:val="auto"/>
          <w:sz w:val="22"/>
          <w:szCs w:val="22"/>
        </w:rPr>
        <w:t xml:space="preserve">the </w:t>
      </w:r>
      <w:r w:rsidR="00F71B3D">
        <w:rPr>
          <w:rFonts w:ascii="Arial" w:hAnsi="Arial" w:cs="Arial"/>
          <w:color w:val="auto"/>
          <w:sz w:val="22"/>
          <w:szCs w:val="22"/>
        </w:rPr>
        <w:t xml:space="preserve">intake </w:t>
      </w:r>
      <w:r w:rsidR="00EA44E6">
        <w:rPr>
          <w:rFonts w:ascii="Arial" w:hAnsi="Arial" w:cs="Arial"/>
          <w:color w:val="auto"/>
          <w:sz w:val="22"/>
          <w:szCs w:val="22"/>
        </w:rPr>
        <w:t xml:space="preserve">estimates </w:t>
      </w:r>
      <w:r w:rsidR="007314FA">
        <w:rPr>
          <w:rFonts w:ascii="Arial" w:hAnsi="Arial" w:cs="Arial"/>
          <w:color w:val="auto"/>
          <w:sz w:val="22"/>
          <w:szCs w:val="22"/>
        </w:rPr>
        <w:t xml:space="preserve">derived </w:t>
      </w:r>
      <w:r w:rsidR="00EA44E6">
        <w:rPr>
          <w:rFonts w:ascii="Arial" w:hAnsi="Arial" w:cs="Arial"/>
          <w:color w:val="auto"/>
          <w:sz w:val="22"/>
          <w:szCs w:val="22"/>
        </w:rPr>
        <w:t>using iodine results from each of the survey</w:t>
      </w:r>
      <w:r w:rsidR="00302D10">
        <w:rPr>
          <w:rFonts w:ascii="Arial" w:hAnsi="Arial" w:cs="Arial"/>
          <w:color w:val="auto"/>
          <w:sz w:val="22"/>
          <w:szCs w:val="22"/>
        </w:rPr>
        <w:t>s</w:t>
      </w:r>
      <w:r w:rsidR="005C7545">
        <w:rPr>
          <w:rFonts w:ascii="Arial" w:hAnsi="Arial" w:cs="Arial"/>
          <w:color w:val="auto"/>
          <w:sz w:val="22"/>
          <w:szCs w:val="22"/>
        </w:rPr>
        <w:t xml:space="preserve"> </w:t>
      </w:r>
      <w:r w:rsidR="009E1D75">
        <w:rPr>
          <w:rFonts w:ascii="Arial" w:hAnsi="Arial" w:cs="Arial"/>
          <w:color w:val="auto"/>
          <w:sz w:val="22"/>
          <w:szCs w:val="22"/>
        </w:rPr>
        <w:t>rather th</w:t>
      </w:r>
      <w:r>
        <w:rPr>
          <w:rFonts w:ascii="Arial" w:hAnsi="Arial" w:cs="Arial"/>
          <w:color w:val="auto"/>
          <w:sz w:val="22"/>
          <w:szCs w:val="22"/>
        </w:rPr>
        <w:t>an a</w:t>
      </w:r>
      <w:r w:rsidR="009E1D75">
        <w:rPr>
          <w:rFonts w:ascii="Arial" w:hAnsi="Arial" w:cs="Arial"/>
          <w:color w:val="auto"/>
          <w:sz w:val="22"/>
          <w:szCs w:val="22"/>
        </w:rPr>
        <w:t xml:space="preserve"> weighted mean </w:t>
      </w:r>
      <w:r w:rsidR="006739B0">
        <w:rPr>
          <w:rFonts w:ascii="Arial" w:hAnsi="Arial" w:cs="Arial"/>
          <w:color w:val="auto"/>
          <w:sz w:val="22"/>
          <w:szCs w:val="22"/>
        </w:rPr>
        <w:t>were very similar despite the time differences in the sampling periods</w:t>
      </w:r>
      <w:r w:rsidR="005C7545">
        <w:rPr>
          <w:rFonts w:ascii="Arial" w:hAnsi="Arial" w:cs="Arial"/>
          <w:color w:val="auto"/>
          <w:sz w:val="22"/>
          <w:szCs w:val="22"/>
        </w:rPr>
        <w:t xml:space="preserve"> </w:t>
      </w:r>
      <w:r w:rsidR="006739B0">
        <w:rPr>
          <w:rFonts w:ascii="Arial" w:hAnsi="Arial" w:cs="Arial"/>
          <w:color w:val="auto"/>
          <w:sz w:val="22"/>
          <w:szCs w:val="22"/>
        </w:rPr>
        <w:t>(</w:t>
      </w:r>
      <w:r w:rsidR="00EA44E6">
        <w:rPr>
          <w:rFonts w:ascii="Arial" w:hAnsi="Arial" w:cs="Arial"/>
          <w:color w:val="auto"/>
          <w:sz w:val="22"/>
          <w:szCs w:val="22"/>
        </w:rPr>
        <w:t>Table A2 in Appendix</w:t>
      </w:r>
      <w:r w:rsidR="006739B0">
        <w:rPr>
          <w:rFonts w:ascii="Arial" w:hAnsi="Arial" w:cs="Arial"/>
          <w:color w:val="auto"/>
          <w:sz w:val="22"/>
          <w:szCs w:val="22"/>
        </w:rPr>
        <w:t xml:space="preserve"> 1)</w:t>
      </w:r>
      <w:r w:rsidR="00EA44E6">
        <w:rPr>
          <w:rFonts w:ascii="Arial" w:hAnsi="Arial" w:cs="Arial"/>
          <w:color w:val="auto"/>
          <w:sz w:val="22"/>
          <w:szCs w:val="22"/>
        </w:rPr>
        <w:t xml:space="preserve">. On the whole, the time interval between the first bread survey and the third was </w:t>
      </w:r>
      <w:r w:rsidR="00302D10">
        <w:rPr>
          <w:rFonts w:ascii="Arial" w:hAnsi="Arial" w:cs="Arial"/>
          <w:color w:val="auto"/>
          <w:sz w:val="22"/>
          <w:szCs w:val="22"/>
        </w:rPr>
        <w:t xml:space="preserve">almost </w:t>
      </w:r>
      <w:r w:rsidR="00EA44E6">
        <w:rPr>
          <w:rFonts w:ascii="Arial" w:hAnsi="Arial" w:cs="Arial"/>
          <w:color w:val="auto"/>
          <w:sz w:val="22"/>
          <w:szCs w:val="22"/>
        </w:rPr>
        <w:t>th</w:t>
      </w:r>
      <w:r w:rsidR="00302D10">
        <w:rPr>
          <w:rFonts w:ascii="Arial" w:hAnsi="Arial" w:cs="Arial"/>
          <w:color w:val="auto"/>
          <w:sz w:val="22"/>
          <w:szCs w:val="22"/>
        </w:rPr>
        <w:t>re</w:t>
      </w:r>
      <w:r w:rsidR="00EA44E6">
        <w:rPr>
          <w:rFonts w:ascii="Arial" w:hAnsi="Arial" w:cs="Arial"/>
          <w:color w:val="auto"/>
          <w:sz w:val="22"/>
          <w:szCs w:val="22"/>
        </w:rPr>
        <w:t>e years</w:t>
      </w:r>
      <w:r w:rsidR="00302D10">
        <w:rPr>
          <w:rFonts w:ascii="Arial" w:hAnsi="Arial" w:cs="Arial"/>
          <w:color w:val="auto"/>
          <w:sz w:val="22"/>
          <w:szCs w:val="22"/>
        </w:rPr>
        <w:t>.</w:t>
      </w:r>
      <w:r w:rsidR="007314FA">
        <w:rPr>
          <w:rFonts w:ascii="Arial" w:hAnsi="Arial" w:cs="Arial"/>
          <w:color w:val="auto"/>
          <w:sz w:val="22"/>
          <w:szCs w:val="22"/>
        </w:rPr>
        <w:t xml:space="preserve"> These results also </w:t>
      </w:r>
      <w:r w:rsidR="006739B0">
        <w:rPr>
          <w:rFonts w:ascii="Arial" w:hAnsi="Arial" w:cs="Arial"/>
          <w:color w:val="auto"/>
          <w:sz w:val="22"/>
          <w:szCs w:val="22"/>
        </w:rPr>
        <w:t xml:space="preserve">indicate </w:t>
      </w:r>
      <w:r w:rsidR="007314FA">
        <w:rPr>
          <w:rFonts w:ascii="Arial" w:hAnsi="Arial" w:cs="Arial"/>
          <w:color w:val="auto"/>
          <w:sz w:val="22"/>
          <w:szCs w:val="22"/>
        </w:rPr>
        <w:t>consistency in the use of iodised salt in making bread by bakers.</w:t>
      </w:r>
    </w:p>
    <w:p w14:paraId="5D734B8F" w14:textId="3D72EC22" w:rsidR="006739B0" w:rsidRPr="008A27EB" w:rsidRDefault="008A27EB" w:rsidP="00CC5193">
      <w:pPr>
        <w:rPr>
          <w:rFonts w:ascii="Arial" w:hAnsi="Arial" w:cs="Arial"/>
          <w:sz w:val="22"/>
        </w:rPr>
      </w:pPr>
      <w:r w:rsidRPr="008A27EB">
        <w:rPr>
          <w:rFonts w:ascii="Arial" w:hAnsi="Arial" w:cs="Arial"/>
          <w:color w:val="000000" w:themeColor="text1"/>
          <w:sz w:val="22"/>
        </w:rPr>
        <w:t xml:space="preserve">The </w:t>
      </w:r>
      <w:r>
        <w:rPr>
          <w:rFonts w:ascii="Arial" w:hAnsi="Arial" w:cs="Arial"/>
          <w:color w:val="000000" w:themeColor="text1"/>
          <w:sz w:val="22"/>
        </w:rPr>
        <w:t>estimated</w:t>
      </w:r>
      <w:r w:rsidRPr="008A27EB">
        <w:rPr>
          <w:rFonts w:ascii="Arial" w:hAnsi="Arial" w:cs="Arial"/>
          <w:color w:val="000000" w:themeColor="text1"/>
          <w:sz w:val="22"/>
        </w:rPr>
        <w:t xml:space="preserve"> increase </w:t>
      </w:r>
      <w:r w:rsidR="006739B0">
        <w:rPr>
          <w:rFonts w:ascii="Arial" w:hAnsi="Arial" w:cs="Arial"/>
          <w:color w:val="000000" w:themeColor="text1"/>
          <w:sz w:val="22"/>
        </w:rPr>
        <w:t xml:space="preserve">in </w:t>
      </w:r>
      <w:r w:rsidR="00C86BAF">
        <w:rPr>
          <w:rFonts w:ascii="Arial" w:hAnsi="Arial" w:cs="Arial"/>
          <w:color w:val="000000" w:themeColor="text1"/>
          <w:sz w:val="22"/>
        </w:rPr>
        <w:t>mean</w:t>
      </w:r>
      <w:r w:rsidR="006739B0">
        <w:rPr>
          <w:rFonts w:ascii="Arial" w:hAnsi="Arial" w:cs="Arial"/>
          <w:color w:val="000000" w:themeColor="text1"/>
          <w:sz w:val="22"/>
        </w:rPr>
        <w:t xml:space="preserve"> </w:t>
      </w:r>
      <w:r w:rsidR="00E96406">
        <w:rPr>
          <w:rFonts w:ascii="Arial" w:hAnsi="Arial" w:cs="Arial"/>
          <w:color w:val="000000" w:themeColor="text1"/>
          <w:sz w:val="22"/>
        </w:rPr>
        <w:t xml:space="preserve">usual </w:t>
      </w:r>
      <w:r w:rsidR="006739B0">
        <w:rPr>
          <w:rFonts w:ascii="Arial" w:hAnsi="Arial" w:cs="Arial"/>
          <w:color w:val="000000" w:themeColor="text1"/>
          <w:sz w:val="22"/>
        </w:rPr>
        <w:t xml:space="preserve">iodine intakes </w:t>
      </w:r>
      <w:r>
        <w:rPr>
          <w:rFonts w:ascii="Arial" w:hAnsi="Arial" w:cs="Arial"/>
          <w:color w:val="000000" w:themeColor="text1"/>
          <w:sz w:val="22"/>
        </w:rPr>
        <w:t xml:space="preserve">ranged </w:t>
      </w:r>
      <w:r w:rsidRPr="008A27EB">
        <w:rPr>
          <w:rFonts w:ascii="Arial" w:hAnsi="Arial" w:cs="Arial"/>
          <w:color w:val="000000" w:themeColor="text1"/>
          <w:sz w:val="22"/>
        </w:rPr>
        <w:t>from 3</w:t>
      </w:r>
      <w:r w:rsidR="00D76F0A">
        <w:rPr>
          <w:rFonts w:ascii="Arial" w:hAnsi="Arial" w:cs="Arial"/>
          <w:color w:val="000000" w:themeColor="text1"/>
          <w:sz w:val="22"/>
        </w:rPr>
        <w:t>7</w:t>
      </w:r>
      <w:r w:rsidR="0019028A">
        <w:rPr>
          <w:rFonts w:ascii="Arial" w:hAnsi="Arial" w:cs="Arial"/>
          <w:color w:val="000000" w:themeColor="text1"/>
          <w:sz w:val="22"/>
        </w:rPr>
        <w:t>-</w:t>
      </w:r>
      <w:r w:rsidRPr="008A27EB">
        <w:rPr>
          <w:rFonts w:ascii="Arial" w:hAnsi="Arial" w:cs="Arial"/>
          <w:color w:val="000000" w:themeColor="text1"/>
          <w:sz w:val="22"/>
        </w:rPr>
        <w:t>6</w:t>
      </w:r>
      <w:r w:rsidR="00D76F0A">
        <w:rPr>
          <w:rFonts w:ascii="Arial" w:hAnsi="Arial" w:cs="Arial"/>
          <w:color w:val="000000" w:themeColor="text1"/>
          <w:sz w:val="22"/>
        </w:rPr>
        <w:t>4</w:t>
      </w:r>
      <w:r w:rsidRPr="008A27EB">
        <w:rPr>
          <w:rFonts w:ascii="Arial" w:hAnsi="Arial" w:cs="Arial"/>
          <w:color w:val="000000" w:themeColor="text1"/>
          <w:sz w:val="22"/>
        </w:rPr>
        <w:t xml:space="preserve"> µg/day across the different </w:t>
      </w:r>
      <w:r w:rsidR="007314FA">
        <w:rPr>
          <w:rFonts w:ascii="Arial" w:hAnsi="Arial" w:cs="Arial"/>
          <w:color w:val="000000" w:themeColor="text1"/>
          <w:sz w:val="22"/>
        </w:rPr>
        <w:t xml:space="preserve">Australian </w:t>
      </w:r>
      <w:r w:rsidRPr="008A27EB">
        <w:rPr>
          <w:rFonts w:ascii="Arial" w:hAnsi="Arial" w:cs="Arial"/>
          <w:color w:val="000000" w:themeColor="text1"/>
          <w:sz w:val="22"/>
        </w:rPr>
        <w:t>population age groups</w:t>
      </w:r>
      <w:r w:rsidR="006739B0">
        <w:rPr>
          <w:rFonts w:ascii="Arial" w:hAnsi="Arial" w:cs="Arial"/>
          <w:color w:val="000000" w:themeColor="text1"/>
          <w:sz w:val="22"/>
        </w:rPr>
        <w:t>, with a much</w:t>
      </w:r>
      <w:r w:rsidR="00D76F0A">
        <w:rPr>
          <w:rFonts w:ascii="Arial" w:hAnsi="Arial" w:cs="Arial"/>
          <w:sz w:val="22"/>
        </w:rPr>
        <w:t xml:space="preserve"> </w:t>
      </w:r>
      <w:r w:rsidRPr="008A27EB">
        <w:rPr>
          <w:rFonts w:ascii="Arial" w:hAnsi="Arial" w:cs="Arial"/>
          <w:sz w:val="22"/>
        </w:rPr>
        <w:t xml:space="preserve">higher percentage contribution made by cereals and cereal products to total dietary </w:t>
      </w:r>
      <w:r w:rsidR="00E96406">
        <w:rPr>
          <w:rFonts w:ascii="Arial" w:hAnsi="Arial" w:cs="Arial"/>
          <w:sz w:val="22"/>
        </w:rPr>
        <w:t xml:space="preserve">usual </w:t>
      </w:r>
      <w:r w:rsidRPr="008A27EB">
        <w:rPr>
          <w:rFonts w:ascii="Arial" w:hAnsi="Arial" w:cs="Arial"/>
          <w:sz w:val="22"/>
        </w:rPr>
        <w:t>iodine intake</w:t>
      </w:r>
      <w:r w:rsidR="006739B0">
        <w:rPr>
          <w:rFonts w:ascii="Arial" w:hAnsi="Arial" w:cs="Arial"/>
          <w:sz w:val="22"/>
        </w:rPr>
        <w:t xml:space="preserve"> post-fortification</w:t>
      </w:r>
      <w:r w:rsidRPr="008A27EB">
        <w:rPr>
          <w:rFonts w:ascii="Arial" w:hAnsi="Arial" w:cs="Arial"/>
          <w:sz w:val="22"/>
        </w:rPr>
        <w:t xml:space="preserve">. </w:t>
      </w:r>
      <w:r w:rsidR="006739B0">
        <w:rPr>
          <w:rFonts w:ascii="Arial" w:hAnsi="Arial" w:cs="Arial"/>
          <w:sz w:val="22"/>
        </w:rPr>
        <w:t xml:space="preserve">The percent </w:t>
      </w:r>
      <w:r w:rsidR="006739B0" w:rsidRPr="008A27EB">
        <w:rPr>
          <w:rFonts w:ascii="Arial" w:hAnsi="Arial" w:cs="Arial"/>
          <w:sz w:val="22"/>
        </w:rPr>
        <w:t xml:space="preserve">contribution of this food group increased from </w:t>
      </w:r>
      <w:r w:rsidR="006739B0" w:rsidRPr="00C34E3C">
        <w:rPr>
          <w:rFonts w:ascii="Arial" w:hAnsi="Arial" w:cs="Arial"/>
          <w:bCs/>
          <w:sz w:val="22"/>
        </w:rPr>
        <w:t>6%</w:t>
      </w:r>
      <w:r w:rsidR="006739B0" w:rsidRPr="00C34E3C">
        <w:rPr>
          <w:rFonts w:ascii="Arial" w:hAnsi="Arial" w:cs="Arial"/>
          <w:sz w:val="22"/>
        </w:rPr>
        <w:t xml:space="preserve"> to </w:t>
      </w:r>
      <w:r w:rsidR="006739B0" w:rsidRPr="00C34E3C">
        <w:rPr>
          <w:rFonts w:ascii="Arial" w:hAnsi="Arial" w:cs="Arial"/>
          <w:bCs/>
          <w:sz w:val="22"/>
        </w:rPr>
        <w:t xml:space="preserve">37% </w:t>
      </w:r>
      <w:r w:rsidR="006739B0" w:rsidRPr="008A27EB">
        <w:rPr>
          <w:rFonts w:ascii="Arial" w:hAnsi="Arial" w:cs="Arial"/>
          <w:sz w:val="22"/>
        </w:rPr>
        <w:t xml:space="preserve">for </w:t>
      </w:r>
      <w:r w:rsidR="00F343F7">
        <w:rPr>
          <w:rFonts w:ascii="Arial" w:hAnsi="Arial" w:cs="Arial"/>
          <w:sz w:val="22"/>
        </w:rPr>
        <w:t>females</w:t>
      </w:r>
      <w:r w:rsidR="006739B0" w:rsidRPr="008A27EB">
        <w:rPr>
          <w:rFonts w:ascii="Arial" w:hAnsi="Arial" w:cs="Arial"/>
          <w:sz w:val="22"/>
        </w:rPr>
        <w:t xml:space="preserve"> of child-bearing </w:t>
      </w:r>
      <w:r w:rsidR="006739B0" w:rsidRPr="008A27EB">
        <w:rPr>
          <w:rFonts w:ascii="Arial" w:hAnsi="Arial" w:cs="Arial"/>
          <w:sz w:val="22"/>
        </w:rPr>
        <w:lastRenderedPageBreak/>
        <w:t xml:space="preserve">age and from </w:t>
      </w:r>
      <w:r w:rsidR="006739B0" w:rsidRPr="00C34E3C">
        <w:rPr>
          <w:rFonts w:ascii="Arial" w:hAnsi="Arial" w:cs="Arial"/>
          <w:sz w:val="22"/>
        </w:rPr>
        <w:t xml:space="preserve">5% to 39% </w:t>
      </w:r>
      <w:r w:rsidR="006739B0" w:rsidRPr="008A27EB">
        <w:rPr>
          <w:rFonts w:ascii="Arial" w:hAnsi="Arial" w:cs="Arial"/>
          <w:sz w:val="22"/>
        </w:rPr>
        <w:t>for adults 17</w:t>
      </w:r>
      <w:r w:rsidR="005C7545">
        <w:rPr>
          <w:rFonts w:ascii="Arial" w:hAnsi="Arial" w:cs="Arial"/>
          <w:sz w:val="22"/>
        </w:rPr>
        <w:t xml:space="preserve"> </w:t>
      </w:r>
      <w:r w:rsidR="006739B0" w:rsidRPr="008A27EB">
        <w:rPr>
          <w:rFonts w:ascii="Arial" w:hAnsi="Arial" w:cs="Arial"/>
          <w:sz w:val="22"/>
        </w:rPr>
        <w:t>years</w:t>
      </w:r>
      <w:r w:rsidR="006739B0">
        <w:rPr>
          <w:rFonts w:ascii="Arial" w:hAnsi="Arial" w:cs="Arial"/>
          <w:sz w:val="22"/>
        </w:rPr>
        <w:t xml:space="preserve"> and over</w:t>
      </w:r>
      <w:r w:rsidR="006739B0" w:rsidRPr="008A27EB">
        <w:rPr>
          <w:rFonts w:ascii="Arial" w:hAnsi="Arial" w:cs="Arial"/>
          <w:sz w:val="22"/>
        </w:rPr>
        <w:t xml:space="preserve">. The food type responsible for the increased proportional contribution of cereals and cereal products to iodine intake </w:t>
      </w:r>
      <w:r w:rsidR="006739B0">
        <w:rPr>
          <w:rFonts w:ascii="Arial" w:hAnsi="Arial" w:cs="Arial"/>
          <w:sz w:val="22"/>
        </w:rPr>
        <w:t>was</w:t>
      </w:r>
      <w:r w:rsidR="005C7545">
        <w:rPr>
          <w:rFonts w:ascii="Arial" w:hAnsi="Arial" w:cs="Arial"/>
          <w:sz w:val="22"/>
        </w:rPr>
        <w:t xml:space="preserve"> </w:t>
      </w:r>
      <w:r w:rsidR="006739B0">
        <w:rPr>
          <w:rFonts w:ascii="Arial" w:hAnsi="Arial" w:cs="Arial"/>
          <w:sz w:val="22"/>
        </w:rPr>
        <w:t>bread</w:t>
      </w:r>
      <w:r w:rsidR="006739B0" w:rsidRPr="008A27EB">
        <w:rPr>
          <w:rFonts w:ascii="Arial" w:hAnsi="Arial" w:cs="Arial"/>
          <w:sz w:val="22"/>
        </w:rPr>
        <w:t xml:space="preserve">. </w:t>
      </w:r>
    </w:p>
    <w:p w14:paraId="5D734B90" w14:textId="7C1FB776" w:rsidR="005C7545" w:rsidRPr="008A27EB" w:rsidRDefault="008A27EB" w:rsidP="00CC5193">
      <w:pPr>
        <w:rPr>
          <w:rFonts w:ascii="Arial" w:hAnsi="Arial" w:cs="Arial"/>
          <w:sz w:val="22"/>
        </w:rPr>
      </w:pPr>
      <w:r w:rsidRPr="008A27EB">
        <w:rPr>
          <w:rFonts w:ascii="Arial" w:hAnsi="Arial" w:cs="Arial"/>
          <w:sz w:val="22"/>
        </w:rPr>
        <w:t xml:space="preserve">The proportion of </w:t>
      </w:r>
      <w:r w:rsidR="00F343F7">
        <w:rPr>
          <w:rFonts w:ascii="Arial" w:hAnsi="Arial" w:cs="Arial"/>
          <w:sz w:val="22"/>
        </w:rPr>
        <w:t>females</w:t>
      </w:r>
      <w:r w:rsidRPr="008A27EB">
        <w:rPr>
          <w:rFonts w:ascii="Arial" w:hAnsi="Arial" w:cs="Arial"/>
          <w:sz w:val="22"/>
        </w:rPr>
        <w:t xml:space="preserve"> of child-bearing age (16-44 years) </w:t>
      </w:r>
      <w:r w:rsidR="00143A9A">
        <w:rPr>
          <w:rFonts w:ascii="Arial" w:hAnsi="Arial" w:cs="Arial"/>
          <w:sz w:val="22"/>
        </w:rPr>
        <w:t>estimated to have</w:t>
      </w:r>
      <w:r w:rsidRPr="008A27EB">
        <w:rPr>
          <w:rFonts w:ascii="Arial" w:hAnsi="Arial" w:cs="Arial"/>
          <w:sz w:val="22"/>
        </w:rPr>
        <w:t xml:space="preserve"> inadequate </w:t>
      </w:r>
      <w:r w:rsidR="00143A9A">
        <w:rPr>
          <w:rFonts w:ascii="Arial" w:hAnsi="Arial" w:cs="Arial"/>
          <w:sz w:val="22"/>
        </w:rPr>
        <w:t>dietary iodine intake</w:t>
      </w:r>
      <w:r w:rsidRPr="008A27EB">
        <w:rPr>
          <w:rFonts w:ascii="Arial" w:hAnsi="Arial" w:cs="Arial"/>
          <w:sz w:val="22"/>
        </w:rPr>
        <w:t xml:space="preserve"> </w:t>
      </w:r>
      <w:r w:rsidR="009E1D75">
        <w:rPr>
          <w:rFonts w:ascii="Arial" w:hAnsi="Arial" w:cs="Arial"/>
          <w:sz w:val="22"/>
        </w:rPr>
        <w:t xml:space="preserve">when compared to the non-pregnant EAR </w:t>
      </w:r>
      <w:r w:rsidRPr="008A27EB">
        <w:rPr>
          <w:rFonts w:ascii="Arial" w:hAnsi="Arial" w:cs="Arial"/>
          <w:sz w:val="22"/>
        </w:rPr>
        <w:t xml:space="preserve">also decreased substantially from </w:t>
      </w:r>
      <w:r w:rsidR="00143A9A" w:rsidRPr="00143A9A">
        <w:rPr>
          <w:rFonts w:ascii="Arial" w:hAnsi="Arial" w:cs="Arial"/>
          <w:sz w:val="22"/>
        </w:rPr>
        <w:t>50</w:t>
      </w:r>
      <w:r w:rsidRPr="00143A9A">
        <w:rPr>
          <w:rFonts w:ascii="Arial" w:hAnsi="Arial" w:cs="Arial"/>
          <w:sz w:val="22"/>
        </w:rPr>
        <w:t>%</w:t>
      </w:r>
      <w:r w:rsidR="00D76F0A">
        <w:rPr>
          <w:rFonts w:ascii="Arial" w:hAnsi="Arial" w:cs="Arial"/>
          <w:sz w:val="22"/>
        </w:rPr>
        <w:t xml:space="preserve"> before fortification</w:t>
      </w:r>
      <w:r w:rsidRPr="008A27EB">
        <w:rPr>
          <w:rFonts w:ascii="Arial" w:hAnsi="Arial" w:cs="Arial"/>
          <w:sz w:val="22"/>
        </w:rPr>
        <w:t xml:space="preserve"> to </w:t>
      </w:r>
      <w:r w:rsidR="00143A9A">
        <w:rPr>
          <w:rFonts w:ascii="Arial" w:hAnsi="Arial" w:cs="Arial"/>
          <w:sz w:val="22"/>
        </w:rPr>
        <w:t>9</w:t>
      </w:r>
      <w:r w:rsidRPr="008A27EB">
        <w:rPr>
          <w:rFonts w:ascii="Arial" w:hAnsi="Arial" w:cs="Arial"/>
          <w:sz w:val="22"/>
        </w:rPr>
        <w:t xml:space="preserve">% after mandatory iodine fortification of </w:t>
      </w:r>
      <w:r w:rsidR="006739B0">
        <w:rPr>
          <w:rFonts w:ascii="Arial" w:hAnsi="Arial" w:cs="Arial"/>
          <w:sz w:val="22"/>
        </w:rPr>
        <w:t xml:space="preserve">salt used in </w:t>
      </w:r>
      <w:r w:rsidR="005C7545">
        <w:rPr>
          <w:rFonts w:ascii="Arial" w:hAnsi="Arial" w:cs="Arial"/>
          <w:sz w:val="22"/>
        </w:rPr>
        <w:t>making</w:t>
      </w:r>
      <w:r w:rsidR="005C7545" w:rsidRPr="008A27EB">
        <w:rPr>
          <w:rFonts w:ascii="Arial" w:hAnsi="Arial" w:cs="Arial"/>
          <w:sz w:val="22"/>
        </w:rPr>
        <w:t xml:space="preserve"> </w:t>
      </w:r>
      <w:r w:rsidRPr="008A27EB">
        <w:rPr>
          <w:rFonts w:ascii="Arial" w:hAnsi="Arial" w:cs="Arial"/>
          <w:sz w:val="22"/>
        </w:rPr>
        <w:t xml:space="preserve">bread. Inadequate </w:t>
      </w:r>
      <w:r w:rsidR="00143A9A">
        <w:rPr>
          <w:rFonts w:ascii="Arial" w:hAnsi="Arial" w:cs="Arial"/>
          <w:sz w:val="22"/>
        </w:rPr>
        <w:t xml:space="preserve">dietary </w:t>
      </w:r>
      <w:r w:rsidRPr="008A27EB">
        <w:rPr>
          <w:rFonts w:ascii="Arial" w:hAnsi="Arial" w:cs="Arial"/>
          <w:sz w:val="22"/>
        </w:rPr>
        <w:t xml:space="preserve">iodine intakes in those aged 2-16 years </w:t>
      </w:r>
      <w:r w:rsidR="006739B0">
        <w:rPr>
          <w:rFonts w:ascii="Arial" w:hAnsi="Arial" w:cs="Arial"/>
          <w:sz w:val="22"/>
        </w:rPr>
        <w:t xml:space="preserve">was estimated to have </w:t>
      </w:r>
      <w:r w:rsidRPr="008A27EB">
        <w:rPr>
          <w:rFonts w:ascii="Arial" w:hAnsi="Arial" w:cs="Arial"/>
          <w:sz w:val="22"/>
        </w:rPr>
        <w:t>decreased from 10</w:t>
      </w:r>
      <w:r w:rsidR="00143A9A">
        <w:rPr>
          <w:rFonts w:ascii="Arial" w:hAnsi="Arial" w:cs="Arial"/>
          <w:sz w:val="22"/>
        </w:rPr>
        <w:t>%</w:t>
      </w:r>
      <w:r w:rsidRPr="008A27EB">
        <w:rPr>
          <w:rFonts w:ascii="Arial" w:hAnsi="Arial" w:cs="Arial"/>
          <w:sz w:val="22"/>
        </w:rPr>
        <w:t xml:space="preserve"> to </w:t>
      </w:r>
      <w:r w:rsidR="00143A9A">
        <w:rPr>
          <w:rFonts w:ascii="Arial" w:hAnsi="Arial" w:cs="Arial"/>
          <w:sz w:val="22"/>
        </w:rPr>
        <w:t>less than 1</w:t>
      </w:r>
      <w:r w:rsidRPr="008A27EB">
        <w:rPr>
          <w:rFonts w:ascii="Arial" w:hAnsi="Arial" w:cs="Arial"/>
          <w:sz w:val="22"/>
        </w:rPr>
        <w:t>%</w:t>
      </w:r>
      <w:r w:rsidR="009E1D75">
        <w:rPr>
          <w:rFonts w:ascii="Arial" w:hAnsi="Arial" w:cs="Arial"/>
          <w:sz w:val="22"/>
        </w:rPr>
        <w:t>; for</w:t>
      </w:r>
      <w:r w:rsidR="00214F49">
        <w:rPr>
          <w:rFonts w:ascii="Arial" w:hAnsi="Arial" w:cs="Arial"/>
          <w:sz w:val="22"/>
        </w:rPr>
        <w:t xml:space="preserve"> </w:t>
      </w:r>
      <w:r w:rsidR="009E1D75">
        <w:rPr>
          <w:rFonts w:ascii="Arial" w:hAnsi="Arial" w:cs="Arial"/>
          <w:sz w:val="22"/>
        </w:rPr>
        <w:t>those</w:t>
      </w:r>
      <w:r w:rsidR="00143A9A">
        <w:rPr>
          <w:rFonts w:ascii="Arial" w:hAnsi="Arial" w:cs="Arial"/>
          <w:sz w:val="22"/>
        </w:rPr>
        <w:t xml:space="preserve"> aged 19-29 years </w:t>
      </w:r>
      <w:r w:rsidRPr="008A27EB">
        <w:rPr>
          <w:rFonts w:ascii="Arial" w:hAnsi="Arial" w:cs="Arial"/>
          <w:sz w:val="22"/>
        </w:rPr>
        <w:t>from 4</w:t>
      </w:r>
      <w:r w:rsidR="00143A9A">
        <w:rPr>
          <w:rFonts w:ascii="Arial" w:hAnsi="Arial" w:cs="Arial"/>
          <w:sz w:val="22"/>
        </w:rPr>
        <w:t>0</w:t>
      </w:r>
      <w:r w:rsidRPr="008A27EB">
        <w:rPr>
          <w:rFonts w:ascii="Arial" w:hAnsi="Arial" w:cs="Arial"/>
          <w:sz w:val="22"/>
        </w:rPr>
        <w:t>% to 6%</w:t>
      </w:r>
      <w:r w:rsidR="00143A9A">
        <w:rPr>
          <w:rFonts w:ascii="Arial" w:hAnsi="Arial" w:cs="Arial"/>
          <w:sz w:val="22"/>
        </w:rPr>
        <w:t xml:space="preserve"> after fortification.</w:t>
      </w:r>
      <w:r w:rsidRPr="008A27EB">
        <w:rPr>
          <w:rFonts w:ascii="Arial" w:hAnsi="Arial" w:cs="Arial"/>
          <w:sz w:val="22"/>
        </w:rPr>
        <w:t xml:space="preserve"> </w:t>
      </w:r>
      <w:r w:rsidR="00143A9A">
        <w:rPr>
          <w:rFonts w:ascii="Arial" w:hAnsi="Arial" w:cs="Arial"/>
          <w:sz w:val="22"/>
        </w:rPr>
        <w:t>T</w:t>
      </w:r>
      <w:r w:rsidR="00143A9A" w:rsidRPr="008A27EB">
        <w:rPr>
          <w:rFonts w:ascii="Arial" w:hAnsi="Arial" w:cs="Arial"/>
          <w:sz w:val="22"/>
        </w:rPr>
        <w:t xml:space="preserve">he proportion </w:t>
      </w:r>
      <w:r w:rsidR="00143A9A">
        <w:rPr>
          <w:rFonts w:ascii="Arial" w:hAnsi="Arial" w:cs="Arial"/>
          <w:sz w:val="22"/>
        </w:rPr>
        <w:t xml:space="preserve">of the </w:t>
      </w:r>
      <w:r w:rsidRPr="008A27EB">
        <w:rPr>
          <w:rFonts w:ascii="Arial" w:hAnsi="Arial" w:cs="Arial"/>
          <w:sz w:val="22"/>
        </w:rPr>
        <w:t>population aged 17 years and above with inadequate iodine intake</w:t>
      </w:r>
      <w:r w:rsidR="00143A9A">
        <w:rPr>
          <w:rFonts w:ascii="Arial" w:hAnsi="Arial" w:cs="Arial"/>
          <w:sz w:val="22"/>
        </w:rPr>
        <w:t xml:space="preserve"> </w:t>
      </w:r>
      <w:r w:rsidR="006739B0">
        <w:rPr>
          <w:rFonts w:ascii="Arial" w:hAnsi="Arial" w:cs="Arial"/>
          <w:sz w:val="22"/>
        </w:rPr>
        <w:t xml:space="preserve">was also estimated to have </w:t>
      </w:r>
      <w:r w:rsidRPr="008A27EB">
        <w:rPr>
          <w:rFonts w:ascii="Arial" w:hAnsi="Arial" w:cs="Arial"/>
          <w:sz w:val="22"/>
        </w:rPr>
        <w:t xml:space="preserve">decreased from </w:t>
      </w:r>
      <w:r w:rsidR="00143A9A">
        <w:rPr>
          <w:rFonts w:ascii="Arial" w:hAnsi="Arial" w:cs="Arial"/>
          <w:sz w:val="22"/>
        </w:rPr>
        <w:t>50</w:t>
      </w:r>
      <w:r w:rsidRPr="008A27EB">
        <w:rPr>
          <w:rFonts w:ascii="Arial" w:hAnsi="Arial" w:cs="Arial"/>
          <w:sz w:val="22"/>
        </w:rPr>
        <w:t xml:space="preserve">% to 6%.  </w:t>
      </w:r>
    </w:p>
    <w:p w14:paraId="5D734B91" w14:textId="77777777" w:rsidR="00C86BAF" w:rsidRDefault="00F71B3D" w:rsidP="00F71B3D">
      <w:pPr>
        <w:rPr>
          <w:rFonts w:ascii="Arial" w:hAnsi="Arial" w:cs="Arial"/>
          <w:sz w:val="22"/>
        </w:rPr>
      </w:pPr>
      <w:r w:rsidRPr="008A27EB">
        <w:rPr>
          <w:rFonts w:ascii="Arial" w:hAnsi="Arial" w:cs="Arial"/>
          <w:sz w:val="22"/>
        </w:rPr>
        <w:t xml:space="preserve">The </w:t>
      </w:r>
      <w:r>
        <w:rPr>
          <w:rFonts w:ascii="Arial" w:hAnsi="Arial" w:cs="Arial"/>
          <w:sz w:val="22"/>
        </w:rPr>
        <w:t xml:space="preserve">expected positive </w:t>
      </w:r>
      <w:r w:rsidRPr="008A27EB">
        <w:rPr>
          <w:rFonts w:ascii="Arial" w:hAnsi="Arial" w:cs="Arial"/>
          <w:sz w:val="22"/>
        </w:rPr>
        <w:t xml:space="preserve">health outcomes </w:t>
      </w:r>
      <w:r>
        <w:rPr>
          <w:rFonts w:ascii="Arial" w:hAnsi="Arial" w:cs="Arial"/>
          <w:sz w:val="22"/>
        </w:rPr>
        <w:t>from</w:t>
      </w:r>
      <w:r w:rsidRPr="008A27EB">
        <w:rPr>
          <w:rFonts w:ascii="Arial" w:hAnsi="Arial" w:cs="Arial"/>
          <w:sz w:val="22"/>
        </w:rPr>
        <w:t xml:space="preserve"> the </w:t>
      </w:r>
      <w:r>
        <w:rPr>
          <w:rFonts w:ascii="Arial" w:hAnsi="Arial" w:cs="Arial"/>
          <w:sz w:val="22"/>
        </w:rPr>
        <w:t xml:space="preserve">estimated </w:t>
      </w:r>
      <w:r w:rsidRPr="008A27EB">
        <w:rPr>
          <w:rFonts w:ascii="Arial" w:hAnsi="Arial" w:cs="Arial"/>
          <w:sz w:val="22"/>
        </w:rPr>
        <w:t>increase in the mean iodine intake of all Australians are</w:t>
      </w:r>
      <w:r>
        <w:rPr>
          <w:rFonts w:ascii="Arial" w:hAnsi="Arial" w:cs="Arial"/>
          <w:sz w:val="22"/>
        </w:rPr>
        <w:t xml:space="preserve"> to reduce</w:t>
      </w:r>
      <w:r w:rsidRPr="00FD51EC">
        <w:rPr>
          <w:rFonts w:ascii="Arial" w:hAnsi="Arial" w:cs="Arial"/>
          <w:sz w:val="22"/>
        </w:rPr>
        <w:t xml:space="preserve"> the incidence of iodine-deficiency health problems</w:t>
      </w:r>
      <w:r>
        <w:rPr>
          <w:rFonts w:ascii="Arial" w:hAnsi="Arial" w:cs="Arial"/>
          <w:sz w:val="22"/>
        </w:rPr>
        <w:t>,</w:t>
      </w:r>
      <w:r w:rsidRPr="00FD51EC">
        <w:rPr>
          <w:rFonts w:ascii="Arial" w:hAnsi="Arial" w:cs="Arial"/>
          <w:sz w:val="22"/>
        </w:rPr>
        <w:t xml:space="preserve"> </w:t>
      </w:r>
      <w:r>
        <w:rPr>
          <w:rFonts w:ascii="Arial" w:hAnsi="Arial" w:cs="Arial"/>
          <w:sz w:val="22"/>
        </w:rPr>
        <w:t>including</w:t>
      </w:r>
      <w:r w:rsidRPr="00FD51EC">
        <w:rPr>
          <w:rFonts w:ascii="Arial" w:hAnsi="Arial" w:cs="Arial"/>
          <w:sz w:val="22"/>
        </w:rPr>
        <w:t xml:space="preserve"> impaired neurological conditions in children.</w:t>
      </w:r>
    </w:p>
    <w:p w14:paraId="5D734B92" w14:textId="77777777" w:rsidR="00C86BAF" w:rsidRPr="00117E26" w:rsidRDefault="00C86BAF" w:rsidP="00CC5193">
      <w:pPr>
        <w:rPr>
          <w:rFonts w:ascii="Arial" w:hAnsi="Arial" w:cs="Arial"/>
          <w:sz w:val="22"/>
        </w:rPr>
      </w:pPr>
      <w:r w:rsidRPr="00117E26">
        <w:rPr>
          <w:rFonts w:ascii="Arial" w:hAnsi="Arial" w:cs="Arial"/>
          <w:sz w:val="22"/>
        </w:rPr>
        <w:t>Potential adverse effects are indicated when a proportion of a given population group exceeds the UL</w:t>
      </w:r>
      <w:r w:rsidR="0047625E" w:rsidRPr="00117E26">
        <w:rPr>
          <w:rFonts w:ascii="Arial" w:hAnsi="Arial" w:cs="Arial"/>
          <w:sz w:val="22"/>
        </w:rPr>
        <w:t>.</w:t>
      </w:r>
      <w:r w:rsidRPr="00117E26">
        <w:rPr>
          <w:rFonts w:ascii="Arial" w:hAnsi="Arial" w:cs="Arial"/>
          <w:sz w:val="22"/>
        </w:rPr>
        <w:t xml:space="preserve"> The </w:t>
      </w:r>
      <w:r w:rsidR="00E96406">
        <w:rPr>
          <w:rFonts w:ascii="Arial" w:hAnsi="Arial" w:cs="Arial"/>
          <w:sz w:val="22"/>
        </w:rPr>
        <w:t xml:space="preserve">usual </w:t>
      </w:r>
      <w:r w:rsidRPr="00117E26">
        <w:rPr>
          <w:rFonts w:ascii="Arial" w:hAnsi="Arial" w:cs="Arial"/>
          <w:sz w:val="22"/>
        </w:rPr>
        <w:t xml:space="preserve">iodine intake estimates </w:t>
      </w:r>
      <w:r w:rsidR="009E1D75" w:rsidRPr="00117E26">
        <w:rPr>
          <w:rFonts w:ascii="Arial" w:hAnsi="Arial" w:cs="Arial"/>
          <w:sz w:val="22"/>
        </w:rPr>
        <w:t xml:space="preserve">indicated </w:t>
      </w:r>
      <w:r w:rsidRPr="00117E26">
        <w:rPr>
          <w:rFonts w:ascii="Arial" w:hAnsi="Arial" w:cs="Arial"/>
          <w:sz w:val="22"/>
        </w:rPr>
        <w:t xml:space="preserve">that for </w:t>
      </w:r>
      <w:r w:rsidR="008451DE">
        <w:rPr>
          <w:rFonts w:ascii="Arial" w:hAnsi="Arial" w:cs="Arial"/>
          <w:sz w:val="22"/>
        </w:rPr>
        <w:t>2-3 year old children</w:t>
      </w:r>
      <w:r w:rsidRPr="00117E26">
        <w:rPr>
          <w:rFonts w:ascii="Arial" w:hAnsi="Arial" w:cs="Arial"/>
          <w:sz w:val="22"/>
        </w:rPr>
        <w:t xml:space="preserve">, the period of iodine intake that exceeds the UL is </w:t>
      </w:r>
      <w:r w:rsidR="009E1D75" w:rsidRPr="00117E26">
        <w:rPr>
          <w:rFonts w:ascii="Arial" w:hAnsi="Arial" w:cs="Arial"/>
          <w:sz w:val="22"/>
        </w:rPr>
        <w:t xml:space="preserve">likely to be </w:t>
      </w:r>
      <w:r w:rsidRPr="00117E26">
        <w:rPr>
          <w:rFonts w:ascii="Arial" w:hAnsi="Arial" w:cs="Arial"/>
          <w:sz w:val="22"/>
        </w:rPr>
        <w:t>transient</w:t>
      </w:r>
      <w:r w:rsidR="00117E26" w:rsidRPr="00117E26">
        <w:rPr>
          <w:rFonts w:ascii="Arial" w:hAnsi="Arial" w:cs="Arial"/>
          <w:sz w:val="22"/>
        </w:rPr>
        <w:t xml:space="preserve"> as</w:t>
      </w:r>
      <w:r w:rsidRPr="00117E26">
        <w:rPr>
          <w:rFonts w:ascii="Arial" w:hAnsi="Arial" w:cs="Arial"/>
          <w:sz w:val="22"/>
        </w:rPr>
        <w:t xml:space="preserve"> less than 1% of </w:t>
      </w:r>
      <w:r w:rsidR="00117E26" w:rsidRPr="00117E26">
        <w:rPr>
          <w:rFonts w:ascii="Arial" w:hAnsi="Arial" w:cs="Arial"/>
          <w:sz w:val="22"/>
        </w:rPr>
        <w:t>children</w:t>
      </w:r>
      <w:r w:rsidRPr="00117E26">
        <w:rPr>
          <w:rFonts w:ascii="Arial" w:hAnsi="Arial" w:cs="Arial"/>
          <w:sz w:val="22"/>
        </w:rPr>
        <w:t xml:space="preserve"> ha</w:t>
      </w:r>
      <w:r w:rsidR="002969CA">
        <w:rPr>
          <w:rFonts w:ascii="Arial" w:hAnsi="Arial" w:cs="Arial"/>
          <w:sz w:val="22"/>
        </w:rPr>
        <w:t>d</w:t>
      </w:r>
      <w:r w:rsidRPr="00117E26">
        <w:rPr>
          <w:rFonts w:ascii="Arial" w:hAnsi="Arial" w:cs="Arial"/>
          <w:sz w:val="22"/>
        </w:rPr>
        <w:t xml:space="preserve"> iodine intakes above the UL </w:t>
      </w:r>
      <w:r w:rsidR="002969CA">
        <w:rPr>
          <w:rFonts w:ascii="Arial" w:hAnsi="Arial" w:cs="Arial"/>
          <w:sz w:val="22"/>
        </w:rPr>
        <w:t>once</w:t>
      </w:r>
      <w:r w:rsidRPr="00117E26">
        <w:rPr>
          <w:rFonts w:ascii="Arial" w:hAnsi="Arial" w:cs="Arial"/>
          <w:sz w:val="22"/>
        </w:rPr>
        <w:t xml:space="preserve"> they turn</w:t>
      </w:r>
      <w:r w:rsidR="002969CA">
        <w:rPr>
          <w:rFonts w:ascii="Arial" w:hAnsi="Arial" w:cs="Arial"/>
          <w:sz w:val="22"/>
        </w:rPr>
        <w:t>ed</w:t>
      </w:r>
      <w:r w:rsidRPr="00117E26">
        <w:rPr>
          <w:rFonts w:ascii="Arial" w:hAnsi="Arial" w:cs="Arial"/>
          <w:sz w:val="22"/>
        </w:rPr>
        <w:t xml:space="preserve"> 4 years</w:t>
      </w:r>
      <w:r w:rsidR="002969CA">
        <w:rPr>
          <w:rFonts w:ascii="Arial" w:hAnsi="Arial" w:cs="Arial"/>
          <w:sz w:val="22"/>
        </w:rPr>
        <w:t xml:space="preserve"> of age</w:t>
      </w:r>
      <w:r w:rsidRPr="00117E26">
        <w:rPr>
          <w:rFonts w:ascii="Arial" w:hAnsi="Arial" w:cs="Arial"/>
          <w:sz w:val="22"/>
        </w:rPr>
        <w:t xml:space="preserve">. </w:t>
      </w:r>
      <w:r w:rsidR="00117E26" w:rsidRPr="00117E26">
        <w:rPr>
          <w:rFonts w:ascii="Arial" w:eastAsia="Calibri" w:hAnsi="Arial" w:cs="Arial"/>
          <w:sz w:val="22"/>
        </w:rPr>
        <w:t xml:space="preserve">Although it is generally undesirable to exceed the UL, there is evidence to indicate that young children are able to exceed their respective estimated ULs by 2-3 </w:t>
      </w:r>
      <w:proofErr w:type="gramStart"/>
      <w:r w:rsidR="00117E26" w:rsidRPr="00117E26">
        <w:rPr>
          <w:rFonts w:ascii="Arial" w:eastAsia="Calibri" w:hAnsi="Arial" w:cs="Arial"/>
          <w:sz w:val="22"/>
        </w:rPr>
        <w:t>fold</w:t>
      </w:r>
      <w:proofErr w:type="gramEnd"/>
      <w:r w:rsidR="00117E26" w:rsidRPr="00117E26">
        <w:rPr>
          <w:rFonts w:ascii="Arial" w:eastAsia="Calibri" w:hAnsi="Arial" w:cs="Arial"/>
          <w:sz w:val="22"/>
        </w:rPr>
        <w:t xml:space="preserve"> without apparent adverse consequences. This, and the reversible nature of the endpoint (sub-clinical hypothyroidism), means such intakes are unlikely to represent a health and safety risk to young children, though a reduced margin of safety exists</w:t>
      </w:r>
      <w:r w:rsidR="002969CA">
        <w:rPr>
          <w:rFonts w:ascii="Arial" w:eastAsia="Calibri" w:hAnsi="Arial" w:cs="Arial"/>
          <w:sz w:val="22"/>
        </w:rPr>
        <w:t>.</w:t>
      </w:r>
    </w:p>
    <w:p w14:paraId="5D734B93" w14:textId="77777777" w:rsidR="00227EAA" w:rsidRDefault="00227EAA" w:rsidP="00CC5193">
      <w:pPr>
        <w:tabs>
          <w:tab w:val="clear" w:pos="567"/>
        </w:tabs>
        <w:rPr>
          <w:rFonts w:ascii="Arial" w:hAnsi="Arial" w:cs="Arial"/>
          <w:sz w:val="22"/>
        </w:rPr>
      </w:pPr>
      <w:r>
        <w:rPr>
          <w:rFonts w:ascii="Arial" w:hAnsi="Arial" w:cs="Arial"/>
          <w:sz w:val="22"/>
        </w:rPr>
        <w:br w:type="page"/>
      </w:r>
    </w:p>
    <w:p w14:paraId="5D734B94" w14:textId="77777777" w:rsidR="008C5E69" w:rsidRDefault="00904293" w:rsidP="00D61928">
      <w:pPr>
        <w:pStyle w:val="Heading1"/>
        <w:spacing w:after="200"/>
        <w:ind w:left="0" w:firstLine="0"/>
        <w:rPr>
          <w:rFonts w:ascii="Arial" w:hAnsi="Arial" w:cs="Arial"/>
          <w:sz w:val="24"/>
          <w:szCs w:val="24"/>
        </w:rPr>
      </w:pPr>
      <w:bookmarkStart w:id="50" w:name="_Toc430854520"/>
      <w:r w:rsidRPr="00EF198C">
        <w:rPr>
          <w:rFonts w:ascii="Arial" w:hAnsi="Arial" w:cs="Arial"/>
          <w:sz w:val="24"/>
          <w:szCs w:val="24"/>
        </w:rPr>
        <w:lastRenderedPageBreak/>
        <w:t>10.0</w:t>
      </w:r>
      <w:r w:rsidRPr="00EF198C">
        <w:rPr>
          <w:rFonts w:ascii="Arial" w:hAnsi="Arial" w:cs="Arial"/>
          <w:sz w:val="24"/>
          <w:szCs w:val="24"/>
        </w:rPr>
        <w:tab/>
      </w:r>
      <w:r w:rsidRPr="00EF198C">
        <w:rPr>
          <w:rFonts w:ascii="Arial" w:hAnsi="Arial" w:cs="Arial"/>
          <w:sz w:val="24"/>
          <w:szCs w:val="24"/>
        </w:rPr>
        <w:tab/>
      </w:r>
      <w:r w:rsidR="00227EAA" w:rsidRPr="00EF198C">
        <w:rPr>
          <w:rFonts w:ascii="Arial" w:hAnsi="Arial" w:cs="Arial"/>
          <w:sz w:val="24"/>
          <w:szCs w:val="24"/>
        </w:rPr>
        <w:t>References</w:t>
      </w:r>
      <w:bookmarkEnd w:id="50"/>
    </w:p>
    <w:p w14:paraId="5D734B95" w14:textId="77777777" w:rsidR="00117E26" w:rsidRDefault="00D8301E" w:rsidP="00117E26">
      <w:pPr>
        <w:pStyle w:val="ListParagraph"/>
        <w:ind w:left="0"/>
        <w:contextualSpacing w:val="0"/>
        <w:rPr>
          <w:rFonts w:ascii="Arial" w:hAnsi="Arial" w:cs="Arial"/>
          <w:sz w:val="22"/>
        </w:rPr>
      </w:pPr>
      <w:proofErr w:type="gramStart"/>
      <w:r>
        <w:rPr>
          <w:rFonts w:ascii="Arial" w:hAnsi="Arial" w:cs="Arial"/>
          <w:color w:val="000000" w:themeColor="text1"/>
          <w:sz w:val="22"/>
        </w:rPr>
        <w:t>Australian Bureau of Statistics (</w:t>
      </w:r>
      <w:r w:rsidR="007660D7">
        <w:rPr>
          <w:rFonts w:ascii="Arial" w:hAnsi="Arial" w:cs="Arial"/>
          <w:color w:val="000000" w:themeColor="text1"/>
          <w:sz w:val="22"/>
        </w:rPr>
        <w:t>ABS</w:t>
      </w:r>
      <w:r w:rsidR="007A3AAF">
        <w:rPr>
          <w:rFonts w:ascii="Arial" w:hAnsi="Arial" w:cs="Arial"/>
          <w:color w:val="000000" w:themeColor="text1"/>
          <w:sz w:val="22"/>
        </w:rPr>
        <w:t>) 2014a</w:t>
      </w:r>
      <w:r>
        <w:rPr>
          <w:rFonts w:ascii="Arial" w:hAnsi="Arial" w:cs="Arial"/>
          <w:color w:val="000000" w:themeColor="text1"/>
          <w:sz w:val="22"/>
        </w:rPr>
        <w:t>.</w:t>
      </w:r>
      <w:proofErr w:type="gramEnd"/>
      <w:r>
        <w:rPr>
          <w:rFonts w:ascii="Arial" w:hAnsi="Arial" w:cs="Arial"/>
          <w:color w:val="000000" w:themeColor="text1"/>
          <w:sz w:val="22"/>
        </w:rPr>
        <w:t xml:space="preserve"> 2011-12 </w:t>
      </w:r>
      <w:r w:rsidRPr="008C5E69">
        <w:rPr>
          <w:rFonts w:ascii="Arial" w:hAnsi="Arial" w:cs="Arial"/>
          <w:i/>
          <w:color w:val="000000" w:themeColor="text1"/>
          <w:sz w:val="22"/>
        </w:rPr>
        <w:t xml:space="preserve">National Nutrition and Physical Activity Survey </w:t>
      </w:r>
      <w:proofErr w:type="spellStart"/>
      <w:r w:rsidRPr="008C5E69">
        <w:rPr>
          <w:rFonts w:ascii="Arial" w:hAnsi="Arial" w:cs="Arial"/>
          <w:i/>
          <w:color w:val="000000" w:themeColor="text1"/>
          <w:sz w:val="22"/>
        </w:rPr>
        <w:t>Confidentialised</w:t>
      </w:r>
      <w:proofErr w:type="spellEnd"/>
      <w:r w:rsidRPr="008C5E69">
        <w:rPr>
          <w:rFonts w:ascii="Arial" w:hAnsi="Arial" w:cs="Arial"/>
          <w:i/>
          <w:color w:val="000000" w:themeColor="text1"/>
          <w:sz w:val="22"/>
        </w:rPr>
        <w:t xml:space="preserve"> Unit Record File</w:t>
      </w:r>
      <w:r>
        <w:rPr>
          <w:rFonts w:ascii="Arial" w:hAnsi="Arial" w:cs="Arial"/>
          <w:color w:val="000000" w:themeColor="text1"/>
          <w:sz w:val="22"/>
        </w:rPr>
        <w:t>.</w:t>
      </w:r>
    </w:p>
    <w:p w14:paraId="5D734B96" w14:textId="77777777" w:rsidR="00117E26" w:rsidRDefault="00D8301E" w:rsidP="00117E26">
      <w:pPr>
        <w:pStyle w:val="ListParagraph"/>
        <w:ind w:left="0"/>
        <w:contextualSpacing w:val="0"/>
        <w:rPr>
          <w:rFonts w:ascii="Arial" w:hAnsi="Arial" w:cs="Arial"/>
          <w:sz w:val="22"/>
        </w:rPr>
      </w:pPr>
      <w:proofErr w:type="gramStart"/>
      <w:r w:rsidRPr="008C5E69">
        <w:rPr>
          <w:rFonts w:ascii="Arial" w:hAnsi="Arial" w:cs="Arial"/>
          <w:sz w:val="22"/>
        </w:rPr>
        <w:t>Australian Bureau of Statistics (</w:t>
      </w:r>
      <w:r w:rsidR="007660D7">
        <w:rPr>
          <w:rFonts w:ascii="Arial" w:hAnsi="Arial" w:cs="Arial"/>
          <w:sz w:val="22"/>
        </w:rPr>
        <w:t>ABS</w:t>
      </w:r>
      <w:r w:rsidR="007A3AAF">
        <w:rPr>
          <w:rFonts w:ascii="Arial" w:hAnsi="Arial" w:cs="Arial"/>
          <w:sz w:val="22"/>
        </w:rPr>
        <w:t>)</w:t>
      </w:r>
      <w:r w:rsidR="007660D7">
        <w:rPr>
          <w:rFonts w:ascii="Arial" w:hAnsi="Arial" w:cs="Arial"/>
          <w:sz w:val="22"/>
        </w:rPr>
        <w:t xml:space="preserve"> </w:t>
      </w:r>
      <w:r w:rsidR="007A3AAF">
        <w:rPr>
          <w:rFonts w:ascii="Arial" w:hAnsi="Arial" w:cs="Arial"/>
          <w:sz w:val="22"/>
        </w:rPr>
        <w:t>2014b</w:t>
      </w:r>
      <w:r w:rsidRPr="008C5E69">
        <w:rPr>
          <w:rFonts w:ascii="Arial" w:hAnsi="Arial" w:cs="Arial"/>
          <w:sz w:val="22"/>
        </w:rPr>
        <w:t>.</w:t>
      </w:r>
      <w:proofErr w:type="gramEnd"/>
      <w:r w:rsidRPr="008C5E69">
        <w:rPr>
          <w:rFonts w:ascii="Arial" w:hAnsi="Arial" w:cs="Arial"/>
          <w:sz w:val="22"/>
        </w:rPr>
        <w:t xml:space="preserve"> </w:t>
      </w:r>
      <w:proofErr w:type="gramStart"/>
      <w:r w:rsidRPr="008C5E69">
        <w:rPr>
          <w:rFonts w:ascii="Arial" w:hAnsi="Arial" w:cs="Arial"/>
          <w:i/>
          <w:sz w:val="22"/>
        </w:rPr>
        <w:t>2011-13 Australian Health Survey Users Guide.</w:t>
      </w:r>
      <w:proofErr w:type="gramEnd"/>
      <w:r w:rsidRPr="008C5E69">
        <w:rPr>
          <w:rFonts w:ascii="Arial" w:hAnsi="Arial" w:cs="Arial"/>
          <w:i/>
          <w:sz w:val="22"/>
        </w:rPr>
        <w:t xml:space="preserve"> Under-reporting in nutrition surveys</w:t>
      </w:r>
      <w:r w:rsidRPr="008C5E69">
        <w:rPr>
          <w:rFonts w:ascii="Arial" w:hAnsi="Arial" w:cs="Arial"/>
          <w:sz w:val="22"/>
        </w:rPr>
        <w:t xml:space="preserve">. </w:t>
      </w:r>
      <w:proofErr w:type="gramStart"/>
      <w:r w:rsidRPr="008C5E69">
        <w:rPr>
          <w:rFonts w:ascii="Arial" w:hAnsi="Arial" w:cs="Arial"/>
          <w:sz w:val="22"/>
        </w:rPr>
        <w:t>ABS, Canberra.</w:t>
      </w:r>
      <w:proofErr w:type="gramEnd"/>
    </w:p>
    <w:p w14:paraId="5D734B97" w14:textId="77777777" w:rsidR="008C5E69" w:rsidRPr="008C5E69" w:rsidRDefault="008C5E69" w:rsidP="008C5E69">
      <w:pPr>
        <w:rPr>
          <w:rFonts w:ascii="Arial" w:hAnsi="Arial" w:cs="Arial"/>
          <w:sz w:val="22"/>
        </w:rPr>
      </w:pPr>
      <w:proofErr w:type="gramStart"/>
      <w:r w:rsidRPr="008C5E69">
        <w:rPr>
          <w:rFonts w:ascii="Arial" w:hAnsi="Arial" w:cs="Arial"/>
          <w:sz w:val="22"/>
        </w:rPr>
        <w:t>Australian Government D</w:t>
      </w:r>
      <w:r w:rsidR="007A3AAF">
        <w:rPr>
          <w:rFonts w:ascii="Arial" w:hAnsi="Arial" w:cs="Arial"/>
          <w:sz w:val="22"/>
        </w:rPr>
        <w:t>epartment of Health and Ageing 2009</w:t>
      </w:r>
      <w:r w:rsidRPr="008C5E69">
        <w:rPr>
          <w:rFonts w:ascii="Arial" w:hAnsi="Arial" w:cs="Arial"/>
          <w:sz w:val="22"/>
        </w:rPr>
        <w:t>.</w:t>
      </w:r>
      <w:proofErr w:type="gramEnd"/>
      <w:r w:rsidRPr="008C5E69">
        <w:rPr>
          <w:rFonts w:ascii="Arial" w:hAnsi="Arial" w:cs="Arial"/>
          <w:sz w:val="22"/>
        </w:rPr>
        <w:t xml:space="preserve"> </w:t>
      </w:r>
      <w:proofErr w:type="gramStart"/>
      <w:r w:rsidRPr="008C5E69">
        <w:rPr>
          <w:rFonts w:ascii="Arial" w:hAnsi="Arial" w:cs="Arial"/>
          <w:sz w:val="22"/>
        </w:rPr>
        <w:t>Ministerial Policy Guidelines for the Fortification of Foods with Vitamins and Minerals.</w:t>
      </w:r>
      <w:proofErr w:type="gramEnd"/>
    </w:p>
    <w:p w14:paraId="5D734B98" w14:textId="77777777" w:rsidR="003522CC" w:rsidRPr="000F5E29" w:rsidRDefault="0075163C" w:rsidP="00117E26">
      <w:pPr>
        <w:pStyle w:val="ListParagraph"/>
        <w:ind w:left="0"/>
        <w:contextualSpacing w:val="0"/>
        <w:rPr>
          <w:rFonts w:ascii="Arial" w:hAnsi="Arial" w:cs="Arial"/>
          <w:sz w:val="22"/>
        </w:rPr>
      </w:pPr>
      <w:proofErr w:type="gramStart"/>
      <w:r w:rsidRPr="003522CC">
        <w:rPr>
          <w:rFonts w:ascii="Arial" w:hAnsi="Arial" w:cs="Arial"/>
          <w:sz w:val="22"/>
        </w:rPr>
        <w:t>Australian Institute of Health and Welfare (</w:t>
      </w:r>
      <w:r w:rsidR="007660D7">
        <w:rPr>
          <w:rFonts w:ascii="Arial" w:hAnsi="Arial" w:cs="Arial"/>
          <w:sz w:val="22"/>
        </w:rPr>
        <w:t>AIHW</w:t>
      </w:r>
      <w:r w:rsidR="007A3AAF">
        <w:rPr>
          <w:rFonts w:ascii="Arial" w:hAnsi="Arial" w:cs="Arial"/>
          <w:sz w:val="22"/>
        </w:rPr>
        <w:t>) 2011a</w:t>
      </w:r>
      <w:r w:rsidRPr="003522CC">
        <w:rPr>
          <w:rFonts w:ascii="Arial" w:hAnsi="Arial" w:cs="Arial"/>
          <w:sz w:val="22"/>
        </w:rPr>
        <w:t>.</w:t>
      </w:r>
      <w:proofErr w:type="gramEnd"/>
      <w:r w:rsidRPr="003522CC">
        <w:rPr>
          <w:rFonts w:ascii="Arial" w:hAnsi="Arial" w:cs="Arial"/>
          <w:sz w:val="22"/>
        </w:rPr>
        <w:t xml:space="preserve"> </w:t>
      </w:r>
      <w:r w:rsidRPr="003522CC">
        <w:rPr>
          <w:rFonts w:ascii="Arial" w:hAnsi="Arial" w:cs="Arial"/>
          <w:i/>
          <w:sz w:val="22"/>
        </w:rPr>
        <w:t>Mandatory folic acid and iodine fortification in Australia and New Zealand: baseline report for monitoring</w:t>
      </w:r>
      <w:r w:rsidRPr="003522CC">
        <w:rPr>
          <w:rFonts w:ascii="Arial" w:hAnsi="Arial" w:cs="Arial"/>
          <w:sz w:val="22"/>
        </w:rPr>
        <w:t xml:space="preserve">. </w:t>
      </w:r>
      <w:hyperlink r:id="rId28" w:history="1">
        <w:r w:rsidRPr="003522CC">
          <w:rPr>
            <w:rStyle w:val="Hyperlink"/>
            <w:rFonts w:ascii="Arial" w:hAnsi="Arial" w:cs="Arial"/>
            <w:sz w:val="22"/>
          </w:rPr>
          <w:t>http://www.aihw.gov.au/publication-detail/?id=10737418875</w:t>
        </w:r>
      </w:hyperlink>
    </w:p>
    <w:p w14:paraId="5D734B99" w14:textId="77777777" w:rsidR="00117E26" w:rsidRDefault="0075163C" w:rsidP="00117E26">
      <w:pPr>
        <w:pStyle w:val="ListParagraph"/>
        <w:ind w:left="0"/>
        <w:contextualSpacing w:val="0"/>
        <w:rPr>
          <w:rFonts w:ascii="Arial" w:hAnsi="Arial" w:cs="Arial"/>
          <w:sz w:val="22"/>
        </w:rPr>
      </w:pPr>
      <w:proofErr w:type="gramStart"/>
      <w:r w:rsidRPr="003522CC">
        <w:rPr>
          <w:rFonts w:ascii="Arial" w:hAnsi="Arial" w:cs="Arial"/>
          <w:sz w:val="22"/>
        </w:rPr>
        <w:t>Australian Institute of Health and Welfare (</w:t>
      </w:r>
      <w:r w:rsidR="007660D7">
        <w:rPr>
          <w:rFonts w:ascii="Arial" w:hAnsi="Arial" w:cs="Arial"/>
          <w:sz w:val="22"/>
        </w:rPr>
        <w:t>AIHW</w:t>
      </w:r>
      <w:r w:rsidR="007A3AAF">
        <w:rPr>
          <w:rFonts w:ascii="Arial" w:hAnsi="Arial" w:cs="Arial"/>
          <w:sz w:val="22"/>
        </w:rPr>
        <w:t>)</w:t>
      </w:r>
      <w:r w:rsidR="007660D7">
        <w:rPr>
          <w:rFonts w:ascii="Arial" w:hAnsi="Arial" w:cs="Arial"/>
          <w:sz w:val="22"/>
        </w:rPr>
        <w:t xml:space="preserve"> </w:t>
      </w:r>
      <w:r w:rsidR="007A3AAF">
        <w:rPr>
          <w:rFonts w:ascii="Arial" w:hAnsi="Arial" w:cs="Arial"/>
          <w:sz w:val="22"/>
        </w:rPr>
        <w:t>2011b</w:t>
      </w:r>
      <w:r w:rsidRPr="003522CC">
        <w:rPr>
          <w:rFonts w:ascii="Arial" w:hAnsi="Arial" w:cs="Arial"/>
          <w:sz w:val="22"/>
        </w:rPr>
        <w:t>.</w:t>
      </w:r>
      <w:proofErr w:type="gramEnd"/>
      <w:r w:rsidRPr="003522CC">
        <w:rPr>
          <w:rFonts w:ascii="Arial" w:hAnsi="Arial" w:cs="Arial"/>
          <w:sz w:val="22"/>
        </w:rPr>
        <w:t xml:space="preserve"> </w:t>
      </w:r>
      <w:r w:rsidRPr="003522CC">
        <w:rPr>
          <w:rFonts w:ascii="Arial" w:hAnsi="Arial" w:cs="Arial"/>
          <w:i/>
          <w:sz w:val="22"/>
        </w:rPr>
        <w:t>Mandatory folic acid and iodine fortification in Australia and New Zealand: supplement to the baseline report for monitoring</w:t>
      </w:r>
      <w:r w:rsidRPr="003522CC">
        <w:rPr>
          <w:rFonts w:ascii="Arial" w:hAnsi="Arial" w:cs="Arial"/>
          <w:sz w:val="22"/>
        </w:rPr>
        <w:t xml:space="preserve">. </w:t>
      </w:r>
      <w:hyperlink r:id="rId29" w:history="1">
        <w:r w:rsidRPr="003522CC">
          <w:rPr>
            <w:rStyle w:val="Hyperlink"/>
            <w:rFonts w:ascii="Arial" w:hAnsi="Arial" w:cs="Arial"/>
            <w:sz w:val="22"/>
          </w:rPr>
          <w:t>http://www.aihw.gov.au/publication-detail/?id=10737420085</w:t>
        </w:r>
      </w:hyperlink>
    </w:p>
    <w:p w14:paraId="5D734B9A" w14:textId="77777777" w:rsidR="003522CC" w:rsidRPr="000F5E29" w:rsidRDefault="0075163C" w:rsidP="00117E26">
      <w:pPr>
        <w:pStyle w:val="ListParagraph"/>
        <w:ind w:left="0"/>
        <w:contextualSpacing w:val="0"/>
        <w:rPr>
          <w:rFonts w:ascii="Arial" w:hAnsi="Arial" w:cs="Arial"/>
          <w:sz w:val="22"/>
        </w:rPr>
      </w:pPr>
      <w:r w:rsidRPr="003522CC">
        <w:rPr>
          <w:rFonts w:ascii="Arial" w:hAnsi="Arial" w:cs="Arial"/>
          <w:sz w:val="22"/>
        </w:rPr>
        <w:t>Australia New Zealand Food Standards Code - Standard 2.10.2 – Salt and Salt Products</w:t>
      </w:r>
    </w:p>
    <w:p w14:paraId="5D734B9B" w14:textId="77777777" w:rsidR="003522CC" w:rsidRPr="000F5E29" w:rsidRDefault="0075163C" w:rsidP="00117E26">
      <w:pPr>
        <w:pStyle w:val="ListParagraph"/>
        <w:ind w:left="0"/>
        <w:contextualSpacing w:val="0"/>
        <w:rPr>
          <w:rFonts w:ascii="Arial" w:hAnsi="Arial" w:cs="Arial"/>
          <w:sz w:val="22"/>
        </w:rPr>
      </w:pPr>
      <w:r w:rsidRPr="003522CC">
        <w:rPr>
          <w:rFonts w:ascii="Arial" w:hAnsi="Arial" w:cs="Arial"/>
          <w:sz w:val="22"/>
        </w:rPr>
        <w:t>Committee on Toxicity of Chemicals in Food, Consumer Prod</w:t>
      </w:r>
      <w:r w:rsidR="007A3AAF">
        <w:rPr>
          <w:rFonts w:ascii="Arial" w:hAnsi="Arial" w:cs="Arial"/>
          <w:sz w:val="22"/>
        </w:rPr>
        <w:t>ucts and the Environment (COT) 2000</w:t>
      </w:r>
      <w:r w:rsidRPr="003522CC">
        <w:rPr>
          <w:rFonts w:ascii="Arial" w:hAnsi="Arial" w:cs="Arial"/>
          <w:sz w:val="22"/>
        </w:rPr>
        <w:t xml:space="preserve">.Statement on iodine in </w:t>
      </w:r>
      <w:proofErr w:type="gramStart"/>
      <w:r w:rsidRPr="003522CC">
        <w:rPr>
          <w:rFonts w:ascii="Arial" w:hAnsi="Arial" w:cs="Arial"/>
          <w:sz w:val="22"/>
        </w:rPr>
        <w:t>cow’s</w:t>
      </w:r>
      <w:proofErr w:type="gramEnd"/>
      <w:r w:rsidRPr="003522CC">
        <w:rPr>
          <w:rFonts w:ascii="Arial" w:hAnsi="Arial" w:cs="Arial"/>
          <w:sz w:val="22"/>
        </w:rPr>
        <w:t xml:space="preserve"> milk. </w:t>
      </w:r>
      <w:proofErr w:type="gramStart"/>
      <w:r w:rsidRPr="003522CC">
        <w:rPr>
          <w:rFonts w:ascii="Arial" w:hAnsi="Arial" w:cs="Arial"/>
          <w:sz w:val="22"/>
        </w:rPr>
        <w:t>COT statement 2002/02.</w:t>
      </w:r>
      <w:proofErr w:type="gramEnd"/>
      <w:r w:rsidRPr="003522CC">
        <w:rPr>
          <w:rFonts w:ascii="Arial" w:hAnsi="Arial" w:cs="Arial"/>
          <w:sz w:val="22"/>
        </w:rPr>
        <w:t xml:space="preserve"> London.</w:t>
      </w:r>
    </w:p>
    <w:p w14:paraId="5D734B9C" w14:textId="77777777" w:rsidR="003522CC" w:rsidRPr="000F5E29" w:rsidRDefault="00214021" w:rsidP="00117E26">
      <w:pPr>
        <w:pStyle w:val="ListParagraph"/>
        <w:ind w:left="0"/>
        <w:contextualSpacing w:val="0"/>
        <w:rPr>
          <w:rFonts w:ascii="Arial" w:hAnsi="Arial" w:cs="Arial"/>
          <w:sz w:val="22"/>
        </w:rPr>
      </w:pPr>
      <w:proofErr w:type="gramStart"/>
      <w:r>
        <w:rPr>
          <w:rFonts w:ascii="Arial" w:hAnsi="Arial" w:cs="Arial"/>
          <w:sz w:val="22"/>
        </w:rPr>
        <w:t>Food Standards Australia New Zealand (FSANZ</w:t>
      </w:r>
      <w:r w:rsidR="007A3AAF">
        <w:rPr>
          <w:rFonts w:ascii="Arial" w:hAnsi="Arial" w:cs="Arial"/>
          <w:sz w:val="22"/>
        </w:rPr>
        <w:t>)</w:t>
      </w:r>
      <w:r>
        <w:rPr>
          <w:rFonts w:ascii="Arial" w:hAnsi="Arial" w:cs="Arial"/>
          <w:sz w:val="22"/>
        </w:rPr>
        <w:t xml:space="preserve"> </w:t>
      </w:r>
      <w:r w:rsidR="007A3AAF">
        <w:rPr>
          <w:rFonts w:ascii="Arial" w:hAnsi="Arial" w:cs="Arial"/>
          <w:sz w:val="22"/>
        </w:rPr>
        <w:t>2007.</w:t>
      </w:r>
      <w:proofErr w:type="gramEnd"/>
      <w:r w:rsidR="0075163C" w:rsidRPr="003522CC">
        <w:rPr>
          <w:rFonts w:ascii="Arial" w:hAnsi="Arial" w:cs="Arial"/>
          <w:sz w:val="22"/>
        </w:rPr>
        <w:t xml:space="preserve"> </w:t>
      </w:r>
      <w:proofErr w:type="gramStart"/>
      <w:r w:rsidR="0075163C" w:rsidRPr="003522CC">
        <w:rPr>
          <w:rFonts w:ascii="Arial" w:hAnsi="Arial" w:cs="Arial"/>
          <w:sz w:val="22"/>
        </w:rPr>
        <w:t>Safety Assessment and Risk Characterisation Report.</w:t>
      </w:r>
      <w:proofErr w:type="gramEnd"/>
      <w:r w:rsidR="0075163C" w:rsidRPr="003522CC">
        <w:rPr>
          <w:rFonts w:ascii="Arial" w:hAnsi="Arial" w:cs="Arial"/>
          <w:sz w:val="22"/>
        </w:rPr>
        <w:t xml:space="preserve"> </w:t>
      </w:r>
      <w:proofErr w:type="gramStart"/>
      <w:r w:rsidR="0075163C" w:rsidRPr="003522CC">
        <w:rPr>
          <w:rFonts w:ascii="Arial" w:hAnsi="Arial" w:cs="Arial"/>
          <w:sz w:val="22"/>
        </w:rPr>
        <w:t>Consideration of Mandatory Fortification with Iodine.</w:t>
      </w:r>
      <w:proofErr w:type="gramEnd"/>
    </w:p>
    <w:p w14:paraId="5D734B9D" w14:textId="77777777" w:rsidR="004A0500" w:rsidRPr="000F5E29" w:rsidRDefault="00214021" w:rsidP="00117E26">
      <w:pPr>
        <w:pStyle w:val="ListParagraph"/>
        <w:ind w:left="0"/>
        <w:contextualSpacing w:val="0"/>
        <w:rPr>
          <w:rFonts w:ascii="Arial" w:hAnsi="Arial" w:cs="Arial"/>
          <w:sz w:val="22"/>
        </w:rPr>
      </w:pPr>
      <w:proofErr w:type="gramStart"/>
      <w:r>
        <w:rPr>
          <w:rFonts w:ascii="Arial" w:hAnsi="Arial" w:cs="Arial"/>
          <w:sz w:val="22"/>
        </w:rPr>
        <w:t>Food Standards Australia New Zealand (FSANZ</w:t>
      </w:r>
      <w:r w:rsidR="007A3AAF">
        <w:rPr>
          <w:rFonts w:ascii="Arial" w:hAnsi="Arial" w:cs="Arial"/>
          <w:sz w:val="22"/>
        </w:rPr>
        <w:t>)</w:t>
      </w:r>
      <w:r>
        <w:rPr>
          <w:rFonts w:ascii="Arial" w:hAnsi="Arial" w:cs="Arial"/>
          <w:sz w:val="22"/>
        </w:rPr>
        <w:t xml:space="preserve"> </w:t>
      </w:r>
      <w:r w:rsidR="0075163C" w:rsidRPr="003522CC">
        <w:rPr>
          <w:rFonts w:ascii="Arial" w:hAnsi="Arial" w:cs="Arial"/>
          <w:sz w:val="22"/>
        </w:rPr>
        <w:t>2008</w:t>
      </w:r>
      <w:r w:rsidR="007A3AAF">
        <w:rPr>
          <w:rFonts w:ascii="Arial" w:hAnsi="Arial" w:cs="Arial"/>
          <w:sz w:val="22"/>
        </w:rPr>
        <w:t>.</w:t>
      </w:r>
      <w:proofErr w:type="gramEnd"/>
      <w:r w:rsidR="0075163C" w:rsidRPr="003522CC">
        <w:rPr>
          <w:rFonts w:ascii="Arial" w:hAnsi="Arial" w:cs="Arial"/>
          <w:sz w:val="22"/>
        </w:rPr>
        <w:t xml:space="preserve"> Approval Report: Proposal P1003 - Mandatory iodine fortification</w:t>
      </w:r>
      <w:r w:rsidR="003522CC">
        <w:rPr>
          <w:rFonts w:ascii="Arial" w:hAnsi="Arial" w:cs="Arial"/>
          <w:sz w:val="22"/>
        </w:rPr>
        <w:t xml:space="preserve"> for Australia. Canberra.</w:t>
      </w:r>
    </w:p>
    <w:p w14:paraId="5D734B9E" w14:textId="77777777" w:rsidR="003F3916" w:rsidRPr="00640F97" w:rsidRDefault="00214021" w:rsidP="00CC5193">
      <w:pPr>
        <w:pStyle w:val="ListParagraph"/>
        <w:ind w:left="0"/>
        <w:contextualSpacing w:val="0"/>
        <w:rPr>
          <w:rFonts w:ascii="Arial" w:hAnsi="Arial" w:cs="Arial"/>
          <w:sz w:val="22"/>
        </w:rPr>
      </w:pPr>
      <w:proofErr w:type="gramStart"/>
      <w:r>
        <w:rPr>
          <w:rFonts w:ascii="Arial" w:hAnsi="Arial" w:cs="Arial"/>
          <w:sz w:val="22"/>
        </w:rPr>
        <w:t>Food Standards Australia New Zealand (FSANZ</w:t>
      </w:r>
      <w:r w:rsidR="00CF73D6">
        <w:rPr>
          <w:rFonts w:ascii="Arial" w:hAnsi="Arial" w:cs="Arial"/>
          <w:sz w:val="22"/>
        </w:rPr>
        <w:t>)</w:t>
      </w:r>
      <w:r>
        <w:rPr>
          <w:rFonts w:ascii="Arial" w:hAnsi="Arial" w:cs="Arial"/>
          <w:sz w:val="22"/>
        </w:rPr>
        <w:t xml:space="preserve"> </w:t>
      </w:r>
      <w:r w:rsidR="004A0500" w:rsidRPr="00640F97">
        <w:rPr>
          <w:rFonts w:ascii="Arial" w:hAnsi="Arial" w:cs="Arial"/>
          <w:sz w:val="22"/>
        </w:rPr>
        <w:t>201</w:t>
      </w:r>
      <w:r w:rsidR="00640F97" w:rsidRPr="00640F97">
        <w:rPr>
          <w:rFonts w:ascii="Arial" w:hAnsi="Arial" w:cs="Arial"/>
          <w:sz w:val="22"/>
        </w:rPr>
        <w:t>0</w:t>
      </w:r>
      <w:r w:rsidR="00CF73D6">
        <w:rPr>
          <w:rFonts w:ascii="Arial" w:hAnsi="Arial" w:cs="Arial"/>
          <w:sz w:val="22"/>
        </w:rPr>
        <w:t>.</w:t>
      </w:r>
      <w:proofErr w:type="gramEnd"/>
      <w:r w:rsidR="004A0500" w:rsidRPr="00640F97">
        <w:rPr>
          <w:rFonts w:ascii="Arial" w:hAnsi="Arial" w:cs="Arial"/>
          <w:sz w:val="22"/>
        </w:rPr>
        <w:t xml:space="preserve"> </w:t>
      </w:r>
      <w:proofErr w:type="gramStart"/>
      <w:r w:rsidR="00640F97" w:rsidRPr="00640F97">
        <w:rPr>
          <w:rFonts w:ascii="Arial" w:hAnsi="Arial" w:cs="Arial"/>
          <w:sz w:val="22"/>
        </w:rPr>
        <w:t>Consumer</w:t>
      </w:r>
      <w:r w:rsidR="004A0500" w:rsidRPr="00640F97">
        <w:rPr>
          <w:rFonts w:ascii="Arial" w:hAnsi="Arial" w:cs="Arial"/>
          <w:sz w:val="22"/>
        </w:rPr>
        <w:t xml:space="preserve"> </w:t>
      </w:r>
      <w:r w:rsidR="00640F97" w:rsidRPr="00640F97">
        <w:rPr>
          <w:rFonts w:ascii="Arial" w:hAnsi="Arial" w:cs="Arial"/>
          <w:sz w:val="22"/>
        </w:rPr>
        <w:t>A</w:t>
      </w:r>
      <w:r w:rsidR="004A0500" w:rsidRPr="00640F97">
        <w:rPr>
          <w:rFonts w:ascii="Arial" w:hAnsi="Arial" w:cs="Arial"/>
          <w:sz w:val="22"/>
        </w:rPr>
        <w:t xml:space="preserve">wareness, </w:t>
      </w:r>
      <w:r w:rsidR="00640F97" w:rsidRPr="00640F97">
        <w:rPr>
          <w:rFonts w:ascii="Arial" w:hAnsi="Arial" w:cs="Arial"/>
          <w:sz w:val="22"/>
        </w:rPr>
        <w:t>Attitudes and B</w:t>
      </w:r>
      <w:r w:rsidR="004A0500" w:rsidRPr="00640F97">
        <w:rPr>
          <w:rFonts w:ascii="Arial" w:hAnsi="Arial" w:cs="Arial"/>
          <w:sz w:val="22"/>
        </w:rPr>
        <w:t>ehaviours to</w:t>
      </w:r>
      <w:r w:rsidR="00640F97" w:rsidRPr="00640F97">
        <w:rPr>
          <w:rFonts w:ascii="Arial" w:hAnsi="Arial" w:cs="Arial"/>
          <w:sz w:val="22"/>
        </w:rPr>
        <w:t xml:space="preserve"> Fortified Foods – Qualitative Research</w:t>
      </w:r>
      <w:r w:rsidR="00640F97">
        <w:rPr>
          <w:rFonts w:ascii="Arial" w:hAnsi="Arial" w:cs="Arial"/>
          <w:sz w:val="22"/>
        </w:rPr>
        <w:t>.</w:t>
      </w:r>
      <w:proofErr w:type="gramEnd"/>
      <w:r w:rsidR="004A0500" w:rsidRPr="00640F97">
        <w:rPr>
          <w:rFonts w:ascii="Arial" w:hAnsi="Arial" w:cs="Arial"/>
          <w:sz w:val="22"/>
        </w:rPr>
        <w:t xml:space="preserve"> </w:t>
      </w:r>
      <w:hyperlink r:id="rId30" w:history="1">
        <w:r w:rsidR="003F3916" w:rsidRPr="00507AEA">
          <w:rPr>
            <w:rStyle w:val="Hyperlink"/>
            <w:rFonts w:ascii="Arial" w:hAnsi="Arial" w:cs="Arial"/>
            <w:sz w:val="22"/>
          </w:rPr>
          <w:t>http://www.foodstandards.gov.au/publications/Pages/Consumer-awareness-attitudes-behaviours-to-fortified-foods---qualitative-.aspx</w:t>
        </w:r>
      </w:hyperlink>
    </w:p>
    <w:p w14:paraId="5D734B9F" w14:textId="77777777" w:rsidR="00640F97" w:rsidRDefault="00214021" w:rsidP="00117E26">
      <w:pPr>
        <w:pStyle w:val="ListParagraph"/>
        <w:ind w:left="0"/>
        <w:contextualSpacing w:val="0"/>
        <w:rPr>
          <w:rFonts w:ascii="Arial" w:hAnsi="Arial" w:cs="Arial"/>
          <w:sz w:val="22"/>
        </w:rPr>
      </w:pPr>
      <w:proofErr w:type="gramStart"/>
      <w:r>
        <w:rPr>
          <w:rFonts w:ascii="Arial" w:hAnsi="Arial" w:cs="Arial"/>
          <w:sz w:val="22"/>
        </w:rPr>
        <w:t>Food Standards Australia New Zealand (FSANZ</w:t>
      </w:r>
      <w:r w:rsidR="00CF73D6">
        <w:rPr>
          <w:rFonts w:ascii="Arial" w:hAnsi="Arial" w:cs="Arial"/>
          <w:sz w:val="22"/>
        </w:rPr>
        <w:t>)</w:t>
      </w:r>
      <w:r>
        <w:rPr>
          <w:rFonts w:ascii="Arial" w:hAnsi="Arial" w:cs="Arial"/>
          <w:sz w:val="22"/>
        </w:rPr>
        <w:t xml:space="preserve"> </w:t>
      </w:r>
      <w:r w:rsidR="00CF73D6">
        <w:rPr>
          <w:rFonts w:ascii="Arial" w:hAnsi="Arial" w:cs="Arial"/>
          <w:sz w:val="22"/>
        </w:rPr>
        <w:t>2013.</w:t>
      </w:r>
      <w:proofErr w:type="gramEnd"/>
      <w:r w:rsidR="003F3916">
        <w:rPr>
          <w:rFonts w:ascii="Arial" w:hAnsi="Arial" w:cs="Arial"/>
          <w:sz w:val="22"/>
        </w:rPr>
        <w:t xml:space="preserve"> </w:t>
      </w:r>
      <w:r w:rsidR="00640F97">
        <w:rPr>
          <w:rFonts w:ascii="Arial" w:hAnsi="Arial" w:cs="Arial"/>
          <w:sz w:val="22"/>
        </w:rPr>
        <w:t>Consumers’ awareness, attitudes and behaviours towards food fortification in A</w:t>
      </w:r>
      <w:r w:rsidR="003F3916">
        <w:rPr>
          <w:rFonts w:ascii="Arial" w:hAnsi="Arial" w:cs="Arial"/>
          <w:sz w:val="22"/>
        </w:rPr>
        <w:t xml:space="preserve">ustralia and New Zealand – survey. </w:t>
      </w:r>
    </w:p>
    <w:p w14:paraId="5D734BA0" w14:textId="77777777" w:rsidR="003F3916" w:rsidRPr="003F3916" w:rsidRDefault="001E1660" w:rsidP="00CC5193">
      <w:pPr>
        <w:pStyle w:val="ListParagraph"/>
        <w:ind w:left="0"/>
        <w:contextualSpacing w:val="0"/>
        <w:rPr>
          <w:rFonts w:ascii="Arial" w:hAnsi="Arial" w:cs="Arial"/>
          <w:sz w:val="22"/>
        </w:rPr>
      </w:pPr>
      <w:hyperlink r:id="rId31" w:history="1">
        <w:r w:rsidR="003F3916" w:rsidRPr="00507AEA">
          <w:rPr>
            <w:rStyle w:val="Hyperlink"/>
            <w:rFonts w:ascii="Arial" w:hAnsi="Arial" w:cs="Arial"/>
            <w:sz w:val="22"/>
          </w:rPr>
          <w:t>http://www.foodstandards.gov.au/publications/Pages/Consumers-awareness-attitudes.aspx</w:t>
        </w:r>
      </w:hyperlink>
    </w:p>
    <w:p w14:paraId="5D734BA1" w14:textId="77777777" w:rsidR="00227EAA" w:rsidRDefault="00904293" w:rsidP="00117E26">
      <w:pPr>
        <w:pStyle w:val="ListParagraph"/>
        <w:ind w:left="0"/>
        <w:contextualSpacing w:val="0"/>
        <w:rPr>
          <w:rFonts w:ascii="Arial" w:hAnsi="Arial" w:cs="Arial"/>
          <w:sz w:val="22"/>
        </w:rPr>
      </w:pPr>
      <w:proofErr w:type="gramStart"/>
      <w:r w:rsidRPr="003F3916">
        <w:rPr>
          <w:rFonts w:ascii="Arial" w:hAnsi="Arial" w:cs="Arial"/>
          <w:sz w:val="22"/>
        </w:rPr>
        <w:t xml:space="preserve">World Health Organisation </w:t>
      </w:r>
      <w:r w:rsidR="00CF73D6">
        <w:rPr>
          <w:rFonts w:ascii="Arial" w:hAnsi="Arial" w:cs="Arial"/>
          <w:sz w:val="22"/>
        </w:rPr>
        <w:t xml:space="preserve">(WHO) </w:t>
      </w:r>
      <w:r w:rsidRPr="003F3916">
        <w:rPr>
          <w:rFonts w:ascii="Arial" w:hAnsi="Arial" w:cs="Arial"/>
          <w:sz w:val="22"/>
        </w:rPr>
        <w:t>and Food and Agriculture Organisation of the United Nations</w:t>
      </w:r>
      <w:r w:rsidR="00CF73D6">
        <w:rPr>
          <w:rFonts w:ascii="Arial" w:hAnsi="Arial" w:cs="Arial"/>
          <w:sz w:val="22"/>
        </w:rPr>
        <w:t xml:space="preserve"> (FAO)</w:t>
      </w:r>
      <w:r w:rsidR="00CE6E6A">
        <w:rPr>
          <w:rFonts w:ascii="Arial" w:hAnsi="Arial" w:cs="Arial"/>
          <w:sz w:val="22"/>
        </w:rPr>
        <w:t xml:space="preserve"> 2004.</w:t>
      </w:r>
      <w:proofErr w:type="gramEnd"/>
      <w:r w:rsidR="00CE6E6A">
        <w:rPr>
          <w:rFonts w:ascii="Arial" w:hAnsi="Arial" w:cs="Arial"/>
          <w:sz w:val="22"/>
        </w:rPr>
        <w:t xml:space="preserve"> Vitamin and mineral requirements for human nutrition, 2</w:t>
      </w:r>
      <w:r w:rsidR="00CE6E6A" w:rsidRPr="00CE6E6A">
        <w:rPr>
          <w:rFonts w:ascii="Arial" w:hAnsi="Arial" w:cs="Arial"/>
          <w:sz w:val="22"/>
          <w:vertAlign w:val="superscript"/>
        </w:rPr>
        <w:t>nd</w:t>
      </w:r>
      <w:r w:rsidR="00CE6E6A">
        <w:rPr>
          <w:rFonts w:ascii="Arial" w:hAnsi="Arial" w:cs="Arial"/>
          <w:sz w:val="22"/>
        </w:rPr>
        <w:t xml:space="preserve"> edition,</w:t>
      </w:r>
      <w:r w:rsidRPr="003F3916">
        <w:rPr>
          <w:rFonts w:ascii="Arial" w:hAnsi="Arial" w:cs="Arial"/>
          <w:sz w:val="22"/>
        </w:rPr>
        <w:t xml:space="preserve"> </w:t>
      </w:r>
      <w:r w:rsidR="00CE6E6A">
        <w:rPr>
          <w:rFonts w:ascii="Arial" w:hAnsi="Arial" w:cs="Arial"/>
          <w:sz w:val="22"/>
        </w:rPr>
        <w:t xml:space="preserve">chapter 16 Iodine, </w:t>
      </w:r>
      <w:r w:rsidRPr="003F3916">
        <w:rPr>
          <w:rFonts w:ascii="Arial" w:hAnsi="Arial" w:cs="Arial"/>
          <w:sz w:val="22"/>
        </w:rPr>
        <w:t>page 313.</w:t>
      </w:r>
      <w:r w:rsidR="00CE6E6A">
        <w:rPr>
          <w:rFonts w:ascii="Arial" w:hAnsi="Arial" w:cs="Arial"/>
          <w:sz w:val="22"/>
        </w:rPr>
        <w:t xml:space="preserve"> </w:t>
      </w:r>
      <w:hyperlink r:id="rId32" w:history="1">
        <w:r w:rsidR="00CE6E6A" w:rsidRPr="00B62C7F">
          <w:rPr>
            <w:rStyle w:val="Hyperlink"/>
            <w:rFonts w:ascii="Arial" w:hAnsi="Arial" w:cs="Arial"/>
            <w:sz w:val="22"/>
          </w:rPr>
          <w:t>http://www.who.int/nutrition/publications/micronutrients/9241546123/en/</w:t>
        </w:r>
      </w:hyperlink>
    </w:p>
    <w:p w14:paraId="5D734BA2" w14:textId="77777777" w:rsidR="00CE6E6A" w:rsidRPr="003F3916" w:rsidRDefault="00CE6E6A" w:rsidP="00117E26">
      <w:pPr>
        <w:pStyle w:val="ListParagraph"/>
        <w:ind w:left="0"/>
        <w:contextualSpacing w:val="0"/>
        <w:rPr>
          <w:rFonts w:ascii="Arial" w:hAnsi="Arial" w:cs="Arial"/>
          <w:sz w:val="22"/>
        </w:rPr>
      </w:pPr>
    </w:p>
    <w:p w14:paraId="5D734BA3" w14:textId="77777777" w:rsidR="00785E34" w:rsidRDefault="00785E34" w:rsidP="00785E34">
      <w:pPr>
        <w:tabs>
          <w:tab w:val="clear" w:pos="567"/>
        </w:tabs>
        <w:rPr>
          <w:rFonts w:ascii="Arial" w:eastAsiaTheme="majorEastAsia" w:hAnsi="Arial" w:cs="Arial"/>
          <w:b/>
          <w:bCs/>
          <w:sz w:val="22"/>
        </w:rPr>
      </w:pPr>
    </w:p>
    <w:p w14:paraId="5D734BA4" w14:textId="77777777" w:rsidR="00E51250" w:rsidRDefault="00E51250">
      <w:pPr>
        <w:tabs>
          <w:tab w:val="clear" w:pos="567"/>
        </w:tabs>
        <w:spacing w:after="0" w:line="240" w:lineRule="auto"/>
        <w:rPr>
          <w:rFonts w:ascii="Arial" w:eastAsiaTheme="majorEastAsia" w:hAnsi="Arial" w:cs="Arial"/>
          <w:b/>
          <w:bCs/>
          <w:szCs w:val="24"/>
        </w:rPr>
      </w:pPr>
      <w:r>
        <w:rPr>
          <w:rFonts w:ascii="Arial" w:hAnsi="Arial" w:cs="Arial"/>
          <w:szCs w:val="24"/>
        </w:rPr>
        <w:br w:type="page"/>
      </w:r>
    </w:p>
    <w:p w14:paraId="5D734BA7" w14:textId="0FA9EA2D" w:rsidR="00F47259" w:rsidRPr="006B57A7" w:rsidRDefault="00E54905" w:rsidP="006B57A7">
      <w:pPr>
        <w:pStyle w:val="Heading1"/>
        <w:spacing w:after="200"/>
        <w:jc w:val="right"/>
        <w:rPr>
          <w:rFonts w:ascii="Arial" w:hAnsi="Arial" w:cs="Arial"/>
          <w:sz w:val="24"/>
          <w:szCs w:val="24"/>
        </w:rPr>
      </w:pPr>
      <w:bookmarkStart w:id="51" w:name="_Toc430854521"/>
      <w:r w:rsidRPr="00785E34">
        <w:rPr>
          <w:rFonts w:ascii="Arial" w:hAnsi="Arial" w:cs="Arial"/>
          <w:sz w:val="24"/>
          <w:szCs w:val="24"/>
        </w:rPr>
        <w:lastRenderedPageBreak/>
        <w:t>A</w:t>
      </w:r>
      <w:r w:rsidR="001333A2" w:rsidRPr="00785E34">
        <w:rPr>
          <w:rFonts w:ascii="Arial" w:hAnsi="Arial" w:cs="Arial"/>
          <w:sz w:val="24"/>
          <w:szCs w:val="24"/>
        </w:rPr>
        <w:t>ppendix</w:t>
      </w:r>
      <w:r w:rsidRPr="00785E34">
        <w:rPr>
          <w:rFonts w:ascii="Arial" w:hAnsi="Arial" w:cs="Arial"/>
          <w:sz w:val="24"/>
          <w:szCs w:val="24"/>
        </w:rPr>
        <w:t xml:space="preserve"> 1</w:t>
      </w:r>
      <w:bookmarkEnd w:id="51"/>
    </w:p>
    <w:p w14:paraId="5D734BA8" w14:textId="04C10CCC" w:rsidR="00F47259" w:rsidRPr="00CC5193" w:rsidRDefault="00F47259" w:rsidP="00F47259">
      <w:pPr>
        <w:pStyle w:val="Caption"/>
        <w:spacing w:after="200" w:line="276" w:lineRule="auto"/>
        <w:rPr>
          <w:rFonts w:cs="Arial"/>
          <w:sz w:val="20"/>
        </w:rPr>
      </w:pPr>
      <w:bookmarkStart w:id="52" w:name="_Toc398542546"/>
      <w:r w:rsidRPr="00214DCA">
        <w:rPr>
          <w:sz w:val="20"/>
        </w:rPr>
        <w:t xml:space="preserve">Table </w:t>
      </w:r>
      <w:r>
        <w:rPr>
          <w:sz w:val="20"/>
        </w:rPr>
        <w:t>A</w:t>
      </w:r>
      <w:r w:rsidR="006B3E2A">
        <w:rPr>
          <w:sz w:val="20"/>
        </w:rPr>
        <w:t>.</w:t>
      </w:r>
      <w:r w:rsidR="00C8555B">
        <w:rPr>
          <w:sz w:val="20"/>
        </w:rPr>
        <w:t>1</w:t>
      </w:r>
      <w:r w:rsidRPr="00214DCA">
        <w:rPr>
          <w:sz w:val="20"/>
        </w:rPr>
        <w:t>: Main bread types and proportions sampled from different bakeries</w:t>
      </w:r>
      <w:r>
        <w:rPr>
          <w:sz w:val="20"/>
        </w:rPr>
        <w:t xml:space="preserve"> – bread survey 1</w:t>
      </w:r>
      <w:bookmarkEnd w:id="52"/>
      <w:r w:rsidRPr="00214DCA">
        <w:rPr>
          <w:sz w:val="20"/>
        </w:rPr>
        <w:t xml:space="preserve"> </w:t>
      </w:r>
    </w:p>
    <w:tbl>
      <w:tblPr>
        <w:tblStyle w:val="LightShading"/>
        <w:tblW w:w="9871" w:type="dxa"/>
        <w:tblLayout w:type="fixed"/>
        <w:tblLook w:val="06A0" w:firstRow="1" w:lastRow="0" w:firstColumn="1" w:lastColumn="0" w:noHBand="1" w:noVBand="1"/>
        <w:tblCaption w:val="Table A.1: Main bread types and proportions sampled from different bakeries – bread survey 1 "/>
      </w:tblPr>
      <w:tblGrid>
        <w:gridCol w:w="1859"/>
        <w:gridCol w:w="1165"/>
        <w:gridCol w:w="1603"/>
        <w:gridCol w:w="1748"/>
        <w:gridCol w:w="1748"/>
        <w:gridCol w:w="1748"/>
      </w:tblGrid>
      <w:tr w:rsidR="00F47259" w:rsidRPr="00FD51EC" w14:paraId="5D734BAF" w14:textId="77777777" w:rsidTr="006059FC">
        <w:trPr>
          <w:cnfStyle w:val="100000000000" w:firstRow="1" w:lastRow="0" w:firstColumn="0" w:lastColumn="0" w:oddVBand="0" w:evenVBand="0" w:oddHBand="0" w:evenHBand="0" w:firstRowFirstColumn="0" w:firstRowLastColumn="0" w:lastRowFirstColumn="0" w:lastRowLastColumn="0"/>
          <w:trHeight w:val="755"/>
          <w:tblHeader/>
        </w:trPr>
        <w:tc>
          <w:tcPr>
            <w:cnfStyle w:val="001000000000" w:firstRow="0" w:lastRow="0" w:firstColumn="1" w:lastColumn="0" w:oddVBand="0" w:evenVBand="0" w:oddHBand="0" w:evenHBand="0" w:firstRowFirstColumn="0" w:firstRowLastColumn="0" w:lastRowFirstColumn="0" w:lastRowLastColumn="0"/>
            <w:tcW w:w="1859" w:type="dxa"/>
            <w:tcBorders>
              <w:bottom w:val="single" w:sz="4" w:space="0" w:color="auto"/>
            </w:tcBorders>
          </w:tcPr>
          <w:p w14:paraId="5D734BA9" w14:textId="77777777" w:rsidR="00F47259" w:rsidRPr="00980596" w:rsidRDefault="00F47259" w:rsidP="00D61928">
            <w:pPr>
              <w:rPr>
                <w:rFonts w:ascii="Arial" w:hAnsi="Arial" w:cs="Arial"/>
                <w:sz w:val="20"/>
                <w:szCs w:val="20"/>
              </w:rPr>
            </w:pPr>
            <w:r w:rsidRPr="00980596">
              <w:rPr>
                <w:rFonts w:ascii="Arial" w:hAnsi="Arial" w:cs="Arial"/>
                <w:sz w:val="20"/>
                <w:szCs w:val="20"/>
              </w:rPr>
              <w:t>Bread type</w:t>
            </w:r>
          </w:p>
        </w:tc>
        <w:tc>
          <w:tcPr>
            <w:tcW w:w="1165" w:type="dxa"/>
          </w:tcPr>
          <w:p w14:paraId="5D734BAA" w14:textId="77777777" w:rsidR="00F47259" w:rsidRPr="00980596" w:rsidRDefault="00F47259"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Number of samples</w:t>
            </w:r>
          </w:p>
        </w:tc>
        <w:tc>
          <w:tcPr>
            <w:tcW w:w="1603" w:type="dxa"/>
          </w:tcPr>
          <w:p w14:paraId="5D734BAB" w14:textId="77777777" w:rsidR="00F47259" w:rsidRPr="00980596" w:rsidRDefault="00F47259"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Supermarket bakeries (%)</w:t>
            </w:r>
          </w:p>
        </w:tc>
        <w:tc>
          <w:tcPr>
            <w:tcW w:w="1748" w:type="dxa"/>
          </w:tcPr>
          <w:p w14:paraId="5D734BAC" w14:textId="77777777" w:rsidR="00F47259" w:rsidRPr="00980596" w:rsidRDefault="00F47259"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Local small-scale bakeries (%)</w:t>
            </w:r>
          </w:p>
        </w:tc>
        <w:tc>
          <w:tcPr>
            <w:tcW w:w="1748" w:type="dxa"/>
          </w:tcPr>
          <w:p w14:paraId="5D734BAD" w14:textId="77777777" w:rsidR="00F47259" w:rsidRPr="00980596" w:rsidRDefault="00F47259"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Industry bakeries (%)</w:t>
            </w:r>
          </w:p>
        </w:tc>
        <w:tc>
          <w:tcPr>
            <w:tcW w:w="1748" w:type="dxa"/>
          </w:tcPr>
          <w:p w14:paraId="5D734BAE" w14:textId="77777777" w:rsidR="00F47259" w:rsidRPr="00980596" w:rsidRDefault="00F47259"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Bakery Franchises</w:t>
            </w:r>
            <w:r w:rsidRPr="00980596">
              <w:rPr>
                <w:rFonts w:ascii="Arial" w:hAnsi="Arial" w:cs="Arial"/>
                <w:sz w:val="20"/>
                <w:szCs w:val="20"/>
              </w:rPr>
              <w:t xml:space="preserve"> (%)</w:t>
            </w:r>
          </w:p>
        </w:tc>
      </w:tr>
      <w:tr w:rsidR="00F47259" w:rsidRPr="00FD51EC" w14:paraId="5D734BB6" w14:textId="77777777" w:rsidTr="00D61928">
        <w:trPr>
          <w:trHeight w:val="288"/>
        </w:trPr>
        <w:tc>
          <w:tcPr>
            <w:cnfStyle w:val="001000000000" w:firstRow="0" w:lastRow="0" w:firstColumn="1" w:lastColumn="0" w:oddVBand="0" w:evenVBand="0" w:oddHBand="0" w:evenHBand="0" w:firstRowFirstColumn="0" w:firstRowLastColumn="0" w:lastRowFirstColumn="0" w:lastRowLastColumn="0"/>
            <w:tcW w:w="1859" w:type="dxa"/>
            <w:tcBorders>
              <w:top w:val="single" w:sz="4" w:space="0" w:color="auto"/>
              <w:left w:val="nil"/>
            </w:tcBorders>
          </w:tcPr>
          <w:p w14:paraId="5D734BB0" w14:textId="77777777" w:rsidR="00F47259" w:rsidRPr="00980596" w:rsidRDefault="00F47259" w:rsidP="00D61928">
            <w:pPr>
              <w:rPr>
                <w:rFonts w:ascii="Arial" w:hAnsi="Arial" w:cs="Arial"/>
                <w:sz w:val="20"/>
                <w:szCs w:val="20"/>
              </w:rPr>
            </w:pPr>
            <w:r w:rsidRPr="00980596">
              <w:rPr>
                <w:rFonts w:ascii="Arial" w:hAnsi="Arial" w:cs="Arial"/>
                <w:sz w:val="20"/>
                <w:szCs w:val="20"/>
              </w:rPr>
              <w:t>White bread</w:t>
            </w:r>
          </w:p>
        </w:tc>
        <w:tc>
          <w:tcPr>
            <w:tcW w:w="1165" w:type="dxa"/>
          </w:tcPr>
          <w:p w14:paraId="5D734BB1"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28</w:t>
            </w:r>
          </w:p>
        </w:tc>
        <w:tc>
          <w:tcPr>
            <w:tcW w:w="1603" w:type="dxa"/>
          </w:tcPr>
          <w:p w14:paraId="5D734BB2"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39</w:t>
            </w:r>
          </w:p>
        </w:tc>
        <w:tc>
          <w:tcPr>
            <w:tcW w:w="1748" w:type="dxa"/>
          </w:tcPr>
          <w:p w14:paraId="5D734BB3"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36</w:t>
            </w:r>
          </w:p>
        </w:tc>
        <w:tc>
          <w:tcPr>
            <w:tcW w:w="1748" w:type="dxa"/>
          </w:tcPr>
          <w:p w14:paraId="5D734BB4"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18</w:t>
            </w:r>
          </w:p>
        </w:tc>
        <w:tc>
          <w:tcPr>
            <w:tcW w:w="1748" w:type="dxa"/>
          </w:tcPr>
          <w:p w14:paraId="5D734BB5"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7</w:t>
            </w:r>
          </w:p>
        </w:tc>
      </w:tr>
      <w:tr w:rsidR="00F47259" w:rsidRPr="00FD51EC" w14:paraId="5D734BBD" w14:textId="77777777" w:rsidTr="00D61928">
        <w:trPr>
          <w:trHeight w:val="300"/>
        </w:trPr>
        <w:tc>
          <w:tcPr>
            <w:cnfStyle w:val="001000000000" w:firstRow="0" w:lastRow="0" w:firstColumn="1" w:lastColumn="0" w:oddVBand="0" w:evenVBand="0" w:oddHBand="0" w:evenHBand="0" w:firstRowFirstColumn="0" w:firstRowLastColumn="0" w:lastRowFirstColumn="0" w:lastRowLastColumn="0"/>
            <w:tcW w:w="1859" w:type="dxa"/>
            <w:tcBorders>
              <w:left w:val="nil"/>
            </w:tcBorders>
          </w:tcPr>
          <w:p w14:paraId="5D734BB7" w14:textId="77777777" w:rsidR="00F47259" w:rsidRPr="00980596" w:rsidRDefault="00F47259" w:rsidP="00D61928">
            <w:pPr>
              <w:rPr>
                <w:rFonts w:ascii="Arial" w:hAnsi="Arial" w:cs="Arial"/>
                <w:sz w:val="20"/>
                <w:szCs w:val="20"/>
              </w:rPr>
            </w:pPr>
            <w:r w:rsidRPr="00980596">
              <w:rPr>
                <w:rFonts w:ascii="Arial" w:hAnsi="Arial" w:cs="Arial"/>
                <w:sz w:val="20"/>
                <w:szCs w:val="20"/>
              </w:rPr>
              <w:t xml:space="preserve">Wholemeal bread </w:t>
            </w:r>
          </w:p>
        </w:tc>
        <w:tc>
          <w:tcPr>
            <w:tcW w:w="1165" w:type="dxa"/>
          </w:tcPr>
          <w:p w14:paraId="5D734BB8"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15</w:t>
            </w:r>
          </w:p>
        </w:tc>
        <w:tc>
          <w:tcPr>
            <w:tcW w:w="1603" w:type="dxa"/>
          </w:tcPr>
          <w:p w14:paraId="5D734BB9"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20</w:t>
            </w:r>
          </w:p>
        </w:tc>
        <w:tc>
          <w:tcPr>
            <w:tcW w:w="1748" w:type="dxa"/>
          </w:tcPr>
          <w:p w14:paraId="5D734BBA"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34</w:t>
            </w:r>
          </w:p>
        </w:tc>
        <w:tc>
          <w:tcPr>
            <w:tcW w:w="1748" w:type="dxa"/>
          </w:tcPr>
          <w:p w14:paraId="5D734BBB"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33</w:t>
            </w:r>
          </w:p>
        </w:tc>
        <w:tc>
          <w:tcPr>
            <w:tcW w:w="1748" w:type="dxa"/>
          </w:tcPr>
          <w:p w14:paraId="5D734BBC"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13</w:t>
            </w:r>
          </w:p>
        </w:tc>
      </w:tr>
      <w:tr w:rsidR="00F47259" w:rsidRPr="00FD51EC" w14:paraId="5D734BC4" w14:textId="77777777" w:rsidTr="00D61928">
        <w:trPr>
          <w:trHeight w:val="577"/>
        </w:trPr>
        <w:tc>
          <w:tcPr>
            <w:cnfStyle w:val="001000000000" w:firstRow="0" w:lastRow="0" w:firstColumn="1" w:lastColumn="0" w:oddVBand="0" w:evenVBand="0" w:oddHBand="0" w:evenHBand="0" w:firstRowFirstColumn="0" w:firstRowLastColumn="0" w:lastRowFirstColumn="0" w:lastRowLastColumn="0"/>
            <w:tcW w:w="1859" w:type="dxa"/>
            <w:tcBorders>
              <w:left w:val="nil"/>
              <w:bottom w:val="single" w:sz="8" w:space="0" w:color="000000" w:themeColor="text1"/>
            </w:tcBorders>
          </w:tcPr>
          <w:p w14:paraId="5D734BBE" w14:textId="77777777" w:rsidR="00F47259" w:rsidRPr="00980596" w:rsidRDefault="00F47259" w:rsidP="00D61928">
            <w:pPr>
              <w:rPr>
                <w:rFonts w:ascii="Arial" w:hAnsi="Arial" w:cs="Arial"/>
                <w:sz w:val="20"/>
                <w:szCs w:val="20"/>
              </w:rPr>
            </w:pPr>
            <w:r w:rsidRPr="00980596">
              <w:rPr>
                <w:rFonts w:ascii="Arial" w:hAnsi="Arial" w:cs="Arial"/>
                <w:sz w:val="20"/>
                <w:szCs w:val="20"/>
              </w:rPr>
              <w:t>Multigrain and seeds bread</w:t>
            </w:r>
          </w:p>
        </w:tc>
        <w:tc>
          <w:tcPr>
            <w:tcW w:w="1165" w:type="dxa"/>
          </w:tcPr>
          <w:p w14:paraId="5D734BBF"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18</w:t>
            </w:r>
          </w:p>
        </w:tc>
        <w:tc>
          <w:tcPr>
            <w:tcW w:w="1603" w:type="dxa"/>
          </w:tcPr>
          <w:p w14:paraId="5D734BC0"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17</w:t>
            </w:r>
          </w:p>
        </w:tc>
        <w:tc>
          <w:tcPr>
            <w:tcW w:w="1748" w:type="dxa"/>
          </w:tcPr>
          <w:p w14:paraId="5D734BC1"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33</w:t>
            </w:r>
          </w:p>
        </w:tc>
        <w:tc>
          <w:tcPr>
            <w:tcW w:w="1748" w:type="dxa"/>
          </w:tcPr>
          <w:p w14:paraId="5D734BC2"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33</w:t>
            </w:r>
          </w:p>
        </w:tc>
        <w:tc>
          <w:tcPr>
            <w:tcW w:w="1748" w:type="dxa"/>
          </w:tcPr>
          <w:p w14:paraId="5D734BC3" w14:textId="77777777" w:rsidR="00F47259" w:rsidRPr="00980596" w:rsidRDefault="00F47259"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96">
              <w:rPr>
                <w:rFonts w:ascii="Arial" w:hAnsi="Arial" w:cs="Arial"/>
                <w:sz w:val="20"/>
                <w:szCs w:val="20"/>
              </w:rPr>
              <w:t>17</w:t>
            </w:r>
          </w:p>
        </w:tc>
      </w:tr>
    </w:tbl>
    <w:p w14:paraId="5D734BC5" w14:textId="77777777" w:rsidR="00F47259" w:rsidRDefault="00F47259" w:rsidP="00F47259">
      <w:pPr>
        <w:rPr>
          <w:rFonts w:ascii="Arial" w:hAnsi="Arial" w:cs="Arial"/>
          <w:sz w:val="22"/>
        </w:rPr>
      </w:pPr>
    </w:p>
    <w:p w14:paraId="5D734BC6" w14:textId="1B0C2EBA" w:rsidR="00621524" w:rsidRPr="00343982" w:rsidRDefault="00621524" w:rsidP="00621524">
      <w:pPr>
        <w:pStyle w:val="Caption"/>
        <w:spacing w:after="200" w:line="276" w:lineRule="auto"/>
        <w:rPr>
          <w:sz w:val="20"/>
        </w:rPr>
      </w:pPr>
      <w:bookmarkStart w:id="53" w:name="_Toc398542547"/>
      <w:bookmarkStart w:id="54" w:name="_Toc398542548"/>
      <w:r w:rsidRPr="00214DCA">
        <w:rPr>
          <w:sz w:val="20"/>
        </w:rPr>
        <w:t xml:space="preserve">Table </w:t>
      </w:r>
      <w:r>
        <w:rPr>
          <w:sz w:val="20"/>
        </w:rPr>
        <w:t>A</w:t>
      </w:r>
      <w:r w:rsidR="006B3E2A">
        <w:rPr>
          <w:sz w:val="20"/>
        </w:rPr>
        <w:t>.</w:t>
      </w:r>
      <w:r w:rsidR="00C8555B">
        <w:rPr>
          <w:sz w:val="20"/>
        </w:rPr>
        <w:t>2</w:t>
      </w:r>
      <w:r w:rsidRPr="00214DCA">
        <w:rPr>
          <w:sz w:val="20"/>
        </w:rPr>
        <w:t xml:space="preserve">: Main bread types and proportions sampled from different bakeries </w:t>
      </w:r>
      <w:r>
        <w:rPr>
          <w:sz w:val="20"/>
        </w:rPr>
        <w:t>–</w:t>
      </w:r>
      <w:r w:rsidRPr="00214DCA">
        <w:rPr>
          <w:sz w:val="20"/>
        </w:rPr>
        <w:t xml:space="preserve"> </w:t>
      </w:r>
      <w:r>
        <w:rPr>
          <w:sz w:val="20"/>
        </w:rPr>
        <w:t>bread survey</w:t>
      </w:r>
      <w:r w:rsidRPr="00214DCA">
        <w:rPr>
          <w:sz w:val="20"/>
        </w:rPr>
        <w:t xml:space="preserve"> 2</w:t>
      </w:r>
      <w:bookmarkEnd w:id="53"/>
    </w:p>
    <w:tbl>
      <w:tblPr>
        <w:tblStyle w:val="LightShading"/>
        <w:tblW w:w="9887" w:type="dxa"/>
        <w:tblLayout w:type="fixed"/>
        <w:tblLook w:val="06A0" w:firstRow="1" w:lastRow="0" w:firstColumn="1" w:lastColumn="0" w:noHBand="1" w:noVBand="1"/>
        <w:tblCaption w:val="Table A.2: Main bread types and proportions sampled from different bakeries – bread survey 2"/>
      </w:tblPr>
      <w:tblGrid>
        <w:gridCol w:w="1926"/>
        <w:gridCol w:w="1207"/>
        <w:gridCol w:w="1661"/>
        <w:gridCol w:w="1961"/>
        <w:gridCol w:w="1661"/>
        <w:gridCol w:w="1471"/>
      </w:tblGrid>
      <w:tr w:rsidR="00621524" w:rsidRPr="00FD51EC" w14:paraId="5D734BCD" w14:textId="77777777" w:rsidTr="006059FC">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926" w:type="dxa"/>
          </w:tcPr>
          <w:p w14:paraId="5D734BC7" w14:textId="77777777" w:rsidR="00621524" w:rsidRPr="00AA30D2" w:rsidRDefault="00621524" w:rsidP="00D61928">
            <w:pPr>
              <w:rPr>
                <w:rFonts w:ascii="Arial" w:hAnsi="Arial" w:cs="Arial"/>
                <w:sz w:val="20"/>
                <w:szCs w:val="20"/>
              </w:rPr>
            </w:pPr>
            <w:r w:rsidRPr="00AA30D2">
              <w:rPr>
                <w:rFonts w:ascii="Arial" w:hAnsi="Arial" w:cs="Arial"/>
                <w:sz w:val="20"/>
                <w:szCs w:val="20"/>
              </w:rPr>
              <w:t>Bread type</w:t>
            </w:r>
          </w:p>
        </w:tc>
        <w:tc>
          <w:tcPr>
            <w:tcW w:w="1207" w:type="dxa"/>
          </w:tcPr>
          <w:p w14:paraId="5D734BC8" w14:textId="77777777" w:rsidR="00621524" w:rsidRPr="00AA30D2"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30D2">
              <w:rPr>
                <w:rFonts w:ascii="Arial" w:hAnsi="Arial" w:cs="Arial"/>
                <w:sz w:val="20"/>
                <w:szCs w:val="20"/>
              </w:rPr>
              <w:t>Number of samples</w:t>
            </w:r>
          </w:p>
        </w:tc>
        <w:tc>
          <w:tcPr>
            <w:tcW w:w="1661" w:type="dxa"/>
          </w:tcPr>
          <w:p w14:paraId="5D734BC9" w14:textId="77777777" w:rsidR="00621524" w:rsidRPr="00AA30D2"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30D2">
              <w:rPr>
                <w:rFonts w:ascii="Arial" w:hAnsi="Arial" w:cs="Arial"/>
                <w:sz w:val="20"/>
                <w:szCs w:val="20"/>
              </w:rPr>
              <w:t>Supermarket bakeries (%)</w:t>
            </w:r>
          </w:p>
        </w:tc>
        <w:tc>
          <w:tcPr>
            <w:tcW w:w="1961" w:type="dxa"/>
          </w:tcPr>
          <w:p w14:paraId="5D734BCA" w14:textId="77777777" w:rsidR="00621524" w:rsidRPr="00AA30D2"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30D2">
              <w:rPr>
                <w:rFonts w:ascii="Arial" w:hAnsi="Arial" w:cs="Arial"/>
                <w:sz w:val="20"/>
                <w:szCs w:val="20"/>
              </w:rPr>
              <w:t>Local small-scale bakeries (%)</w:t>
            </w:r>
          </w:p>
        </w:tc>
        <w:tc>
          <w:tcPr>
            <w:tcW w:w="1661" w:type="dxa"/>
          </w:tcPr>
          <w:p w14:paraId="5D734BCB" w14:textId="77777777" w:rsidR="00621524" w:rsidRPr="00AA30D2"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30D2">
              <w:rPr>
                <w:rFonts w:ascii="Arial" w:hAnsi="Arial" w:cs="Arial"/>
                <w:sz w:val="20"/>
                <w:szCs w:val="20"/>
              </w:rPr>
              <w:t>Industry bakeries (%)</w:t>
            </w:r>
          </w:p>
        </w:tc>
        <w:tc>
          <w:tcPr>
            <w:tcW w:w="1471" w:type="dxa"/>
          </w:tcPr>
          <w:p w14:paraId="5D734BCC" w14:textId="77777777" w:rsidR="00621524" w:rsidRPr="00AA30D2"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30D2">
              <w:rPr>
                <w:rFonts w:ascii="Arial" w:hAnsi="Arial" w:cs="Arial"/>
                <w:sz w:val="20"/>
                <w:szCs w:val="20"/>
              </w:rPr>
              <w:t>Baker</w:t>
            </w:r>
            <w:r>
              <w:rPr>
                <w:rFonts w:ascii="Arial" w:hAnsi="Arial" w:cs="Arial"/>
                <w:sz w:val="20"/>
                <w:szCs w:val="20"/>
              </w:rPr>
              <w:t>y Franchises</w:t>
            </w:r>
            <w:r w:rsidRPr="00AA30D2">
              <w:rPr>
                <w:rFonts w:ascii="Arial" w:hAnsi="Arial" w:cs="Arial"/>
                <w:sz w:val="20"/>
                <w:szCs w:val="20"/>
              </w:rPr>
              <w:t xml:space="preserve"> (%)</w:t>
            </w:r>
          </w:p>
        </w:tc>
      </w:tr>
      <w:tr w:rsidR="00621524" w:rsidRPr="00FD51EC" w14:paraId="5D734BD4" w14:textId="77777777" w:rsidTr="00D61928">
        <w:trPr>
          <w:trHeight w:val="437"/>
        </w:trPr>
        <w:tc>
          <w:tcPr>
            <w:cnfStyle w:val="001000000000" w:firstRow="0" w:lastRow="0" w:firstColumn="1" w:lastColumn="0" w:oddVBand="0" w:evenVBand="0" w:oddHBand="0" w:evenHBand="0" w:firstRowFirstColumn="0" w:firstRowLastColumn="0" w:lastRowFirstColumn="0" w:lastRowLastColumn="0"/>
            <w:tcW w:w="1926" w:type="dxa"/>
          </w:tcPr>
          <w:p w14:paraId="5D734BCE" w14:textId="77777777" w:rsidR="00621524" w:rsidRPr="0089141E" w:rsidRDefault="00621524" w:rsidP="00D61928">
            <w:pPr>
              <w:rPr>
                <w:rFonts w:ascii="Arial" w:hAnsi="Arial" w:cs="Arial"/>
                <w:sz w:val="20"/>
                <w:szCs w:val="20"/>
              </w:rPr>
            </w:pPr>
            <w:r w:rsidRPr="0089141E">
              <w:rPr>
                <w:rFonts w:ascii="Arial" w:hAnsi="Arial" w:cs="Arial"/>
                <w:sz w:val="20"/>
                <w:szCs w:val="20"/>
              </w:rPr>
              <w:t>White bread</w:t>
            </w:r>
          </w:p>
        </w:tc>
        <w:tc>
          <w:tcPr>
            <w:tcW w:w="1207" w:type="dxa"/>
          </w:tcPr>
          <w:p w14:paraId="5D734BCF"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32</w:t>
            </w:r>
          </w:p>
        </w:tc>
        <w:tc>
          <w:tcPr>
            <w:tcW w:w="1661" w:type="dxa"/>
          </w:tcPr>
          <w:p w14:paraId="5D734BD0"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25</w:t>
            </w:r>
          </w:p>
        </w:tc>
        <w:tc>
          <w:tcPr>
            <w:tcW w:w="1961" w:type="dxa"/>
          </w:tcPr>
          <w:p w14:paraId="5D734BD1"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47</w:t>
            </w:r>
          </w:p>
        </w:tc>
        <w:tc>
          <w:tcPr>
            <w:tcW w:w="1661" w:type="dxa"/>
          </w:tcPr>
          <w:p w14:paraId="5D734BD2"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19</w:t>
            </w:r>
          </w:p>
        </w:tc>
        <w:tc>
          <w:tcPr>
            <w:tcW w:w="1471" w:type="dxa"/>
          </w:tcPr>
          <w:p w14:paraId="5D734BD3"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9</w:t>
            </w:r>
          </w:p>
        </w:tc>
      </w:tr>
      <w:tr w:rsidR="00621524" w:rsidRPr="00FD51EC" w14:paraId="5D734BDB" w14:textId="77777777" w:rsidTr="00D61928">
        <w:trPr>
          <w:trHeight w:val="453"/>
        </w:trPr>
        <w:tc>
          <w:tcPr>
            <w:cnfStyle w:val="001000000000" w:firstRow="0" w:lastRow="0" w:firstColumn="1" w:lastColumn="0" w:oddVBand="0" w:evenVBand="0" w:oddHBand="0" w:evenHBand="0" w:firstRowFirstColumn="0" w:firstRowLastColumn="0" w:lastRowFirstColumn="0" w:lastRowLastColumn="0"/>
            <w:tcW w:w="1926" w:type="dxa"/>
          </w:tcPr>
          <w:p w14:paraId="5D734BD5" w14:textId="77777777" w:rsidR="00621524" w:rsidRPr="0089141E" w:rsidRDefault="00621524" w:rsidP="00D61928">
            <w:pPr>
              <w:rPr>
                <w:rFonts w:ascii="Arial" w:hAnsi="Arial" w:cs="Arial"/>
                <w:sz w:val="20"/>
                <w:szCs w:val="20"/>
              </w:rPr>
            </w:pPr>
            <w:r w:rsidRPr="0089141E">
              <w:rPr>
                <w:rFonts w:ascii="Arial" w:hAnsi="Arial" w:cs="Arial"/>
                <w:sz w:val="20"/>
                <w:szCs w:val="20"/>
              </w:rPr>
              <w:t xml:space="preserve">Wholemeal </w:t>
            </w:r>
            <w:r>
              <w:rPr>
                <w:rFonts w:ascii="Arial" w:hAnsi="Arial" w:cs="Arial"/>
                <w:sz w:val="20"/>
                <w:szCs w:val="20"/>
              </w:rPr>
              <w:t>bread</w:t>
            </w:r>
          </w:p>
        </w:tc>
        <w:tc>
          <w:tcPr>
            <w:tcW w:w="1207" w:type="dxa"/>
          </w:tcPr>
          <w:p w14:paraId="5D734BD6"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32</w:t>
            </w:r>
          </w:p>
        </w:tc>
        <w:tc>
          <w:tcPr>
            <w:tcW w:w="1661" w:type="dxa"/>
          </w:tcPr>
          <w:p w14:paraId="5D734BD7"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19</w:t>
            </w:r>
          </w:p>
        </w:tc>
        <w:tc>
          <w:tcPr>
            <w:tcW w:w="1961" w:type="dxa"/>
          </w:tcPr>
          <w:p w14:paraId="5D734BD8"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47</w:t>
            </w:r>
          </w:p>
        </w:tc>
        <w:tc>
          <w:tcPr>
            <w:tcW w:w="1661" w:type="dxa"/>
          </w:tcPr>
          <w:p w14:paraId="5D734BD9"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28</w:t>
            </w:r>
          </w:p>
        </w:tc>
        <w:tc>
          <w:tcPr>
            <w:tcW w:w="1471" w:type="dxa"/>
          </w:tcPr>
          <w:p w14:paraId="5D734BDA"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6</w:t>
            </w:r>
          </w:p>
        </w:tc>
      </w:tr>
      <w:tr w:rsidR="00621524" w:rsidRPr="00FD51EC" w14:paraId="5D734BE2" w14:textId="77777777" w:rsidTr="00D61928">
        <w:trPr>
          <w:trHeight w:val="578"/>
        </w:trPr>
        <w:tc>
          <w:tcPr>
            <w:cnfStyle w:val="001000000000" w:firstRow="0" w:lastRow="0" w:firstColumn="1" w:lastColumn="0" w:oddVBand="0" w:evenVBand="0" w:oddHBand="0" w:evenHBand="0" w:firstRowFirstColumn="0" w:firstRowLastColumn="0" w:lastRowFirstColumn="0" w:lastRowLastColumn="0"/>
            <w:tcW w:w="1926" w:type="dxa"/>
          </w:tcPr>
          <w:p w14:paraId="5D734BDC" w14:textId="77777777" w:rsidR="00621524" w:rsidRPr="0089141E" w:rsidRDefault="00621524" w:rsidP="00D61928">
            <w:pPr>
              <w:rPr>
                <w:rFonts w:ascii="Arial" w:hAnsi="Arial" w:cs="Arial"/>
                <w:sz w:val="20"/>
                <w:szCs w:val="20"/>
              </w:rPr>
            </w:pPr>
            <w:r w:rsidRPr="0089141E">
              <w:rPr>
                <w:rFonts w:ascii="Arial" w:hAnsi="Arial" w:cs="Arial"/>
                <w:sz w:val="20"/>
                <w:szCs w:val="20"/>
              </w:rPr>
              <w:t xml:space="preserve">Multigrain and seeds </w:t>
            </w:r>
            <w:r>
              <w:rPr>
                <w:rFonts w:ascii="Arial" w:hAnsi="Arial" w:cs="Arial"/>
                <w:sz w:val="20"/>
                <w:szCs w:val="20"/>
              </w:rPr>
              <w:t>bread</w:t>
            </w:r>
          </w:p>
        </w:tc>
        <w:tc>
          <w:tcPr>
            <w:tcW w:w="1207" w:type="dxa"/>
          </w:tcPr>
          <w:p w14:paraId="5D734BDD"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32</w:t>
            </w:r>
          </w:p>
        </w:tc>
        <w:tc>
          <w:tcPr>
            <w:tcW w:w="1661" w:type="dxa"/>
          </w:tcPr>
          <w:p w14:paraId="5D734BDE"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28</w:t>
            </w:r>
          </w:p>
        </w:tc>
        <w:tc>
          <w:tcPr>
            <w:tcW w:w="1961" w:type="dxa"/>
          </w:tcPr>
          <w:p w14:paraId="5D734BDF"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44</w:t>
            </w:r>
          </w:p>
        </w:tc>
        <w:tc>
          <w:tcPr>
            <w:tcW w:w="1661" w:type="dxa"/>
          </w:tcPr>
          <w:p w14:paraId="5D734BE0"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22</w:t>
            </w:r>
          </w:p>
        </w:tc>
        <w:tc>
          <w:tcPr>
            <w:tcW w:w="1471" w:type="dxa"/>
          </w:tcPr>
          <w:p w14:paraId="5D734BE1"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6</w:t>
            </w:r>
          </w:p>
        </w:tc>
      </w:tr>
    </w:tbl>
    <w:p w14:paraId="5D734BE3" w14:textId="77777777" w:rsidR="00621524" w:rsidRPr="00343982" w:rsidRDefault="00621524" w:rsidP="00621524"/>
    <w:p w14:paraId="5D734BE4" w14:textId="0EA4FAAF" w:rsidR="00621524" w:rsidRPr="00343982" w:rsidRDefault="00621524" w:rsidP="00621524">
      <w:pPr>
        <w:pStyle w:val="Caption"/>
        <w:spacing w:after="200" w:line="276" w:lineRule="auto"/>
        <w:rPr>
          <w:rFonts w:cs="Arial"/>
          <w:sz w:val="20"/>
        </w:rPr>
      </w:pPr>
      <w:r w:rsidRPr="00214DCA">
        <w:rPr>
          <w:sz w:val="20"/>
        </w:rPr>
        <w:t xml:space="preserve">Table </w:t>
      </w:r>
      <w:r>
        <w:rPr>
          <w:sz w:val="20"/>
        </w:rPr>
        <w:t>A</w:t>
      </w:r>
      <w:r w:rsidR="006B3E2A">
        <w:rPr>
          <w:sz w:val="20"/>
        </w:rPr>
        <w:t>.</w:t>
      </w:r>
      <w:r w:rsidR="00C8555B">
        <w:rPr>
          <w:sz w:val="20"/>
        </w:rPr>
        <w:t>3</w:t>
      </w:r>
      <w:r w:rsidRPr="00214DCA">
        <w:rPr>
          <w:sz w:val="20"/>
        </w:rPr>
        <w:t xml:space="preserve">: Main bread types and proportions sampled from different bakeries </w:t>
      </w:r>
      <w:r>
        <w:rPr>
          <w:sz w:val="20"/>
        </w:rPr>
        <w:t>–</w:t>
      </w:r>
      <w:r w:rsidRPr="00214DCA">
        <w:rPr>
          <w:sz w:val="20"/>
        </w:rPr>
        <w:t xml:space="preserve"> </w:t>
      </w:r>
      <w:r>
        <w:rPr>
          <w:sz w:val="20"/>
        </w:rPr>
        <w:t>bread survey</w:t>
      </w:r>
      <w:r w:rsidRPr="00214DCA">
        <w:rPr>
          <w:sz w:val="20"/>
        </w:rPr>
        <w:t xml:space="preserve"> 3</w:t>
      </w:r>
      <w:bookmarkEnd w:id="54"/>
    </w:p>
    <w:tbl>
      <w:tblPr>
        <w:tblStyle w:val="LightShading"/>
        <w:tblW w:w="9910" w:type="dxa"/>
        <w:tblLayout w:type="fixed"/>
        <w:tblLook w:val="06A0" w:firstRow="1" w:lastRow="0" w:firstColumn="1" w:lastColumn="0" w:noHBand="1" w:noVBand="1"/>
        <w:tblCaption w:val="Table A.3: Main bread types and proportions sampled from different bakeries – bread survey 3"/>
      </w:tblPr>
      <w:tblGrid>
        <w:gridCol w:w="1931"/>
        <w:gridCol w:w="1210"/>
        <w:gridCol w:w="1929"/>
        <w:gridCol w:w="1842"/>
        <w:gridCol w:w="1701"/>
        <w:gridCol w:w="1297"/>
      </w:tblGrid>
      <w:tr w:rsidR="00621524" w:rsidRPr="00FD51EC" w14:paraId="5D734BEB" w14:textId="77777777" w:rsidTr="006059FC">
        <w:trPr>
          <w:cnfStyle w:val="100000000000" w:firstRow="1" w:lastRow="0" w:firstColumn="0" w:lastColumn="0" w:oddVBand="0" w:evenVBand="0" w:oddHBand="0" w:evenHBand="0" w:firstRowFirstColumn="0" w:firstRowLastColumn="0" w:lastRowFirstColumn="0" w:lastRowLastColumn="0"/>
          <w:trHeight w:val="876"/>
          <w:tblHeader/>
        </w:trPr>
        <w:tc>
          <w:tcPr>
            <w:cnfStyle w:val="001000000000" w:firstRow="0" w:lastRow="0" w:firstColumn="1" w:lastColumn="0" w:oddVBand="0" w:evenVBand="0" w:oddHBand="0" w:evenHBand="0" w:firstRowFirstColumn="0" w:firstRowLastColumn="0" w:lastRowFirstColumn="0" w:lastRowLastColumn="0"/>
            <w:tcW w:w="1931" w:type="dxa"/>
          </w:tcPr>
          <w:p w14:paraId="5D734BE5" w14:textId="77777777" w:rsidR="00621524" w:rsidRPr="0089141E" w:rsidRDefault="00621524" w:rsidP="00D61928">
            <w:pPr>
              <w:rPr>
                <w:rFonts w:ascii="Arial" w:hAnsi="Arial" w:cs="Arial"/>
                <w:sz w:val="20"/>
                <w:szCs w:val="20"/>
              </w:rPr>
            </w:pPr>
            <w:r w:rsidRPr="0089141E">
              <w:rPr>
                <w:rFonts w:ascii="Arial" w:hAnsi="Arial" w:cs="Arial"/>
                <w:sz w:val="20"/>
                <w:szCs w:val="20"/>
              </w:rPr>
              <w:t xml:space="preserve">Bread </w:t>
            </w:r>
            <w:r>
              <w:rPr>
                <w:rFonts w:ascii="Arial" w:hAnsi="Arial" w:cs="Arial"/>
                <w:sz w:val="20"/>
                <w:szCs w:val="20"/>
              </w:rPr>
              <w:t>type</w:t>
            </w:r>
          </w:p>
        </w:tc>
        <w:tc>
          <w:tcPr>
            <w:tcW w:w="1210" w:type="dxa"/>
          </w:tcPr>
          <w:p w14:paraId="5D734BE6" w14:textId="77777777" w:rsidR="00621524" w:rsidRPr="0089141E"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Number of samples</w:t>
            </w:r>
          </w:p>
        </w:tc>
        <w:tc>
          <w:tcPr>
            <w:tcW w:w="1929" w:type="dxa"/>
          </w:tcPr>
          <w:p w14:paraId="5D734BE7" w14:textId="77777777" w:rsidR="00621524" w:rsidRPr="0089141E"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Supermarket bakeries (%)</w:t>
            </w:r>
          </w:p>
        </w:tc>
        <w:tc>
          <w:tcPr>
            <w:tcW w:w="1842" w:type="dxa"/>
          </w:tcPr>
          <w:p w14:paraId="5D734BE8" w14:textId="77777777" w:rsidR="00621524" w:rsidRPr="0089141E"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Local small-scale bakeries (%)</w:t>
            </w:r>
          </w:p>
        </w:tc>
        <w:tc>
          <w:tcPr>
            <w:tcW w:w="1701" w:type="dxa"/>
          </w:tcPr>
          <w:p w14:paraId="5D734BE9" w14:textId="77777777" w:rsidR="00621524" w:rsidRPr="0089141E"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Industry bakeries (%)</w:t>
            </w:r>
          </w:p>
        </w:tc>
        <w:tc>
          <w:tcPr>
            <w:tcW w:w="1297" w:type="dxa"/>
          </w:tcPr>
          <w:p w14:paraId="5D734BEA" w14:textId="77777777" w:rsidR="00621524" w:rsidRPr="0089141E" w:rsidRDefault="00621524" w:rsidP="00D619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Baker</w:t>
            </w:r>
            <w:r>
              <w:rPr>
                <w:rFonts w:ascii="Arial" w:hAnsi="Arial" w:cs="Arial"/>
                <w:sz w:val="20"/>
                <w:szCs w:val="20"/>
              </w:rPr>
              <w:t>y</w:t>
            </w:r>
            <w:r w:rsidRPr="0089141E">
              <w:rPr>
                <w:rFonts w:ascii="Arial" w:hAnsi="Arial" w:cs="Arial"/>
                <w:sz w:val="20"/>
                <w:szCs w:val="20"/>
              </w:rPr>
              <w:t xml:space="preserve"> </w:t>
            </w:r>
            <w:r>
              <w:rPr>
                <w:rFonts w:ascii="Arial" w:hAnsi="Arial" w:cs="Arial"/>
                <w:sz w:val="20"/>
                <w:szCs w:val="20"/>
              </w:rPr>
              <w:t>Franchises</w:t>
            </w:r>
            <w:r w:rsidRPr="0089141E">
              <w:rPr>
                <w:rFonts w:ascii="Arial" w:hAnsi="Arial" w:cs="Arial"/>
                <w:sz w:val="20"/>
                <w:szCs w:val="20"/>
              </w:rPr>
              <w:t xml:space="preserve"> (%)</w:t>
            </w:r>
          </w:p>
        </w:tc>
      </w:tr>
      <w:tr w:rsidR="00621524" w:rsidRPr="00FD51EC" w14:paraId="5D734BF2" w14:textId="77777777" w:rsidTr="00D61928">
        <w:trPr>
          <w:trHeight w:val="605"/>
        </w:trPr>
        <w:tc>
          <w:tcPr>
            <w:cnfStyle w:val="001000000000" w:firstRow="0" w:lastRow="0" w:firstColumn="1" w:lastColumn="0" w:oddVBand="0" w:evenVBand="0" w:oddHBand="0" w:evenHBand="0" w:firstRowFirstColumn="0" w:firstRowLastColumn="0" w:lastRowFirstColumn="0" w:lastRowLastColumn="0"/>
            <w:tcW w:w="1931" w:type="dxa"/>
          </w:tcPr>
          <w:p w14:paraId="5D734BEC" w14:textId="77777777" w:rsidR="00621524" w:rsidRPr="0089141E" w:rsidRDefault="00621524" w:rsidP="00D61928">
            <w:pPr>
              <w:rPr>
                <w:rFonts w:ascii="Arial" w:hAnsi="Arial" w:cs="Arial"/>
                <w:sz w:val="20"/>
                <w:szCs w:val="20"/>
              </w:rPr>
            </w:pPr>
            <w:r>
              <w:rPr>
                <w:rFonts w:ascii="Arial" w:hAnsi="Arial" w:cs="Arial"/>
                <w:sz w:val="20"/>
                <w:szCs w:val="20"/>
              </w:rPr>
              <w:t xml:space="preserve">White </w:t>
            </w:r>
            <w:r w:rsidRPr="0089141E">
              <w:rPr>
                <w:rFonts w:ascii="Arial" w:hAnsi="Arial" w:cs="Arial"/>
                <w:sz w:val="20"/>
                <w:szCs w:val="20"/>
              </w:rPr>
              <w:t>bread</w:t>
            </w:r>
          </w:p>
        </w:tc>
        <w:tc>
          <w:tcPr>
            <w:tcW w:w="1210" w:type="dxa"/>
          </w:tcPr>
          <w:p w14:paraId="5D734BED"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37</w:t>
            </w:r>
          </w:p>
        </w:tc>
        <w:tc>
          <w:tcPr>
            <w:tcW w:w="1929" w:type="dxa"/>
          </w:tcPr>
          <w:p w14:paraId="5D734BEE"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27</w:t>
            </w:r>
          </w:p>
        </w:tc>
        <w:tc>
          <w:tcPr>
            <w:tcW w:w="1842" w:type="dxa"/>
          </w:tcPr>
          <w:p w14:paraId="5D734BEF"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19</w:t>
            </w:r>
          </w:p>
        </w:tc>
        <w:tc>
          <w:tcPr>
            <w:tcW w:w="1701" w:type="dxa"/>
          </w:tcPr>
          <w:p w14:paraId="5D734BF0"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46</w:t>
            </w:r>
          </w:p>
        </w:tc>
        <w:tc>
          <w:tcPr>
            <w:tcW w:w="1297" w:type="dxa"/>
          </w:tcPr>
          <w:p w14:paraId="5D734BF1"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8</w:t>
            </w:r>
          </w:p>
        </w:tc>
      </w:tr>
      <w:tr w:rsidR="00621524" w:rsidRPr="00FD51EC" w14:paraId="5D734BF9" w14:textId="77777777" w:rsidTr="00D61928">
        <w:trPr>
          <w:trHeight w:val="605"/>
        </w:trPr>
        <w:tc>
          <w:tcPr>
            <w:cnfStyle w:val="001000000000" w:firstRow="0" w:lastRow="0" w:firstColumn="1" w:lastColumn="0" w:oddVBand="0" w:evenVBand="0" w:oddHBand="0" w:evenHBand="0" w:firstRowFirstColumn="0" w:firstRowLastColumn="0" w:lastRowFirstColumn="0" w:lastRowLastColumn="0"/>
            <w:tcW w:w="1931" w:type="dxa"/>
          </w:tcPr>
          <w:p w14:paraId="5D734BF3" w14:textId="77777777" w:rsidR="00621524" w:rsidRPr="0089141E" w:rsidRDefault="00621524" w:rsidP="00D61928">
            <w:pPr>
              <w:rPr>
                <w:rFonts w:ascii="Arial" w:hAnsi="Arial" w:cs="Arial"/>
                <w:sz w:val="20"/>
                <w:szCs w:val="20"/>
              </w:rPr>
            </w:pPr>
            <w:r w:rsidRPr="0089141E">
              <w:rPr>
                <w:rFonts w:ascii="Arial" w:hAnsi="Arial" w:cs="Arial"/>
                <w:sz w:val="20"/>
                <w:szCs w:val="20"/>
              </w:rPr>
              <w:t xml:space="preserve">Wholemeal </w:t>
            </w:r>
            <w:r>
              <w:rPr>
                <w:rFonts w:ascii="Arial" w:hAnsi="Arial" w:cs="Arial"/>
                <w:sz w:val="20"/>
                <w:szCs w:val="20"/>
              </w:rPr>
              <w:t>bread</w:t>
            </w:r>
          </w:p>
        </w:tc>
        <w:tc>
          <w:tcPr>
            <w:tcW w:w="1210" w:type="dxa"/>
          </w:tcPr>
          <w:p w14:paraId="5D734BF4"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28</w:t>
            </w:r>
          </w:p>
        </w:tc>
        <w:tc>
          <w:tcPr>
            <w:tcW w:w="1929" w:type="dxa"/>
          </w:tcPr>
          <w:p w14:paraId="5D734BF5"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39</w:t>
            </w:r>
          </w:p>
        </w:tc>
        <w:tc>
          <w:tcPr>
            <w:tcW w:w="1842" w:type="dxa"/>
          </w:tcPr>
          <w:p w14:paraId="5D734BF6"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25</w:t>
            </w:r>
          </w:p>
        </w:tc>
        <w:tc>
          <w:tcPr>
            <w:tcW w:w="1701" w:type="dxa"/>
          </w:tcPr>
          <w:p w14:paraId="5D734BF7"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29</w:t>
            </w:r>
          </w:p>
        </w:tc>
        <w:tc>
          <w:tcPr>
            <w:tcW w:w="1297" w:type="dxa"/>
          </w:tcPr>
          <w:p w14:paraId="5D734BF8"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7</w:t>
            </w:r>
          </w:p>
        </w:tc>
      </w:tr>
      <w:tr w:rsidR="00621524" w:rsidRPr="00FD51EC" w14:paraId="5D734C00" w14:textId="77777777" w:rsidTr="00D61928">
        <w:trPr>
          <w:trHeight w:val="627"/>
        </w:trPr>
        <w:tc>
          <w:tcPr>
            <w:cnfStyle w:val="001000000000" w:firstRow="0" w:lastRow="0" w:firstColumn="1" w:lastColumn="0" w:oddVBand="0" w:evenVBand="0" w:oddHBand="0" w:evenHBand="0" w:firstRowFirstColumn="0" w:firstRowLastColumn="0" w:lastRowFirstColumn="0" w:lastRowLastColumn="0"/>
            <w:tcW w:w="1931" w:type="dxa"/>
          </w:tcPr>
          <w:p w14:paraId="5D734BFA" w14:textId="77777777" w:rsidR="00621524" w:rsidRPr="0089141E" w:rsidRDefault="00621524" w:rsidP="00D61928">
            <w:pPr>
              <w:rPr>
                <w:rFonts w:ascii="Arial" w:hAnsi="Arial" w:cs="Arial"/>
                <w:sz w:val="20"/>
                <w:szCs w:val="20"/>
              </w:rPr>
            </w:pPr>
            <w:r>
              <w:rPr>
                <w:rFonts w:ascii="Arial" w:hAnsi="Arial" w:cs="Arial"/>
                <w:sz w:val="20"/>
                <w:szCs w:val="20"/>
              </w:rPr>
              <w:t xml:space="preserve">Multigrain and </w:t>
            </w:r>
            <w:r w:rsidRPr="0089141E">
              <w:rPr>
                <w:rFonts w:ascii="Arial" w:hAnsi="Arial" w:cs="Arial"/>
                <w:sz w:val="20"/>
                <w:szCs w:val="20"/>
              </w:rPr>
              <w:t xml:space="preserve">seeds </w:t>
            </w:r>
            <w:r>
              <w:rPr>
                <w:rFonts w:ascii="Arial" w:hAnsi="Arial" w:cs="Arial"/>
                <w:sz w:val="20"/>
                <w:szCs w:val="20"/>
              </w:rPr>
              <w:t>bread</w:t>
            </w:r>
          </w:p>
        </w:tc>
        <w:tc>
          <w:tcPr>
            <w:tcW w:w="1210" w:type="dxa"/>
          </w:tcPr>
          <w:p w14:paraId="5D734BFB"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30</w:t>
            </w:r>
          </w:p>
        </w:tc>
        <w:tc>
          <w:tcPr>
            <w:tcW w:w="1929" w:type="dxa"/>
          </w:tcPr>
          <w:p w14:paraId="5D734BFC"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13</w:t>
            </w:r>
          </w:p>
        </w:tc>
        <w:tc>
          <w:tcPr>
            <w:tcW w:w="1842" w:type="dxa"/>
          </w:tcPr>
          <w:p w14:paraId="5D734BFD"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20</w:t>
            </w:r>
          </w:p>
        </w:tc>
        <w:tc>
          <w:tcPr>
            <w:tcW w:w="1701" w:type="dxa"/>
          </w:tcPr>
          <w:p w14:paraId="5D734BFE"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57</w:t>
            </w:r>
          </w:p>
        </w:tc>
        <w:tc>
          <w:tcPr>
            <w:tcW w:w="1297" w:type="dxa"/>
          </w:tcPr>
          <w:p w14:paraId="5D734BFF" w14:textId="77777777" w:rsidR="00621524" w:rsidRPr="0089141E" w:rsidRDefault="00621524" w:rsidP="00D6192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41E">
              <w:rPr>
                <w:rFonts w:ascii="Arial" w:hAnsi="Arial" w:cs="Arial"/>
                <w:sz w:val="20"/>
                <w:szCs w:val="20"/>
              </w:rPr>
              <w:t>10</w:t>
            </w:r>
          </w:p>
        </w:tc>
      </w:tr>
    </w:tbl>
    <w:p w14:paraId="5D734C02" w14:textId="77777777" w:rsidR="00FB6BB6" w:rsidRDefault="00FB6BB6">
      <w:pPr>
        <w:tabs>
          <w:tab w:val="clear" w:pos="567"/>
        </w:tabs>
        <w:spacing w:after="0" w:line="240" w:lineRule="auto"/>
        <w:rPr>
          <w:rFonts w:ascii="Arial" w:hAnsi="Arial" w:cs="Arial"/>
          <w:b/>
          <w:sz w:val="20"/>
          <w:szCs w:val="20"/>
        </w:rPr>
      </w:pPr>
      <w:r>
        <w:rPr>
          <w:rFonts w:ascii="Arial" w:hAnsi="Arial" w:cs="Arial"/>
          <w:b/>
          <w:sz w:val="20"/>
          <w:szCs w:val="20"/>
        </w:rPr>
        <w:br w:type="page"/>
      </w:r>
    </w:p>
    <w:p w14:paraId="5D734C03" w14:textId="77777777" w:rsidR="007706B5" w:rsidRPr="00876EB6" w:rsidRDefault="007706B5" w:rsidP="00CC5193">
      <w:pPr>
        <w:rPr>
          <w:rFonts w:ascii="Arial" w:hAnsi="Arial" w:cs="Arial"/>
          <w:b/>
          <w:sz w:val="20"/>
          <w:szCs w:val="20"/>
        </w:rPr>
      </w:pPr>
      <w:r w:rsidRPr="00876EB6">
        <w:rPr>
          <w:rFonts w:ascii="Arial" w:hAnsi="Arial" w:cs="Arial"/>
          <w:b/>
          <w:sz w:val="20"/>
          <w:szCs w:val="20"/>
        </w:rPr>
        <w:lastRenderedPageBreak/>
        <w:t>Table A</w:t>
      </w:r>
      <w:r w:rsidR="006B3E2A">
        <w:rPr>
          <w:rFonts w:ascii="Arial" w:hAnsi="Arial" w:cs="Arial"/>
          <w:b/>
          <w:sz w:val="20"/>
          <w:szCs w:val="20"/>
        </w:rPr>
        <w:t>.</w:t>
      </w:r>
      <w:r w:rsidR="00FB6BB6">
        <w:rPr>
          <w:rFonts w:ascii="Arial" w:hAnsi="Arial" w:cs="Arial"/>
          <w:b/>
          <w:sz w:val="20"/>
          <w:szCs w:val="20"/>
        </w:rPr>
        <w:t>4</w:t>
      </w:r>
      <w:r w:rsidRPr="00876EB6">
        <w:rPr>
          <w:rFonts w:ascii="Arial" w:hAnsi="Arial" w:cs="Arial"/>
          <w:b/>
          <w:sz w:val="20"/>
          <w:szCs w:val="20"/>
        </w:rPr>
        <w:t xml:space="preserve">: </w:t>
      </w:r>
      <w:r w:rsidR="00493041" w:rsidRPr="00876EB6">
        <w:rPr>
          <w:rFonts w:ascii="Arial" w:hAnsi="Arial" w:cs="Arial"/>
          <w:b/>
          <w:sz w:val="20"/>
          <w:szCs w:val="20"/>
        </w:rPr>
        <w:t xml:space="preserve">Amount of </w:t>
      </w:r>
      <w:r w:rsidR="0010613B">
        <w:rPr>
          <w:rFonts w:ascii="Arial" w:hAnsi="Arial" w:cs="Arial"/>
          <w:b/>
          <w:sz w:val="20"/>
          <w:szCs w:val="20"/>
        </w:rPr>
        <w:t xml:space="preserve">analysed </w:t>
      </w:r>
      <w:r w:rsidR="00493041" w:rsidRPr="00876EB6">
        <w:rPr>
          <w:rFonts w:ascii="Arial" w:hAnsi="Arial" w:cs="Arial"/>
          <w:b/>
          <w:sz w:val="20"/>
          <w:szCs w:val="20"/>
        </w:rPr>
        <w:t xml:space="preserve">iodine in </w:t>
      </w:r>
      <w:r w:rsidR="000556B1">
        <w:rPr>
          <w:rFonts w:ascii="Arial" w:hAnsi="Arial" w:cs="Arial"/>
          <w:b/>
          <w:sz w:val="20"/>
          <w:szCs w:val="20"/>
        </w:rPr>
        <w:t>all</w:t>
      </w:r>
      <w:r w:rsidR="00493041" w:rsidRPr="00876EB6">
        <w:rPr>
          <w:rFonts w:ascii="Arial" w:hAnsi="Arial" w:cs="Arial"/>
          <w:b/>
          <w:sz w:val="20"/>
          <w:szCs w:val="20"/>
        </w:rPr>
        <w:t xml:space="preserve"> bread types - </w:t>
      </w:r>
      <w:r w:rsidRPr="00876EB6">
        <w:rPr>
          <w:rFonts w:ascii="Arial" w:hAnsi="Arial" w:cs="Arial"/>
          <w:b/>
          <w:sz w:val="20"/>
          <w:szCs w:val="20"/>
        </w:rPr>
        <w:t>Summary data phase 1 bread survey</w:t>
      </w:r>
      <w:r w:rsidR="00493041" w:rsidRPr="00876EB6">
        <w:rPr>
          <w:rFonts w:ascii="Arial" w:hAnsi="Arial" w:cs="Arial"/>
          <w:b/>
          <w:sz w:val="20"/>
          <w:szCs w:val="20"/>
        </w:rPr>
        <w:t xml:space="preserve">: </w:t>
      </w:r>
      <w:r w:rsidR="00AE49C0" w:rsidRPr="00876EB6">
        <w:rPr>
          <w:rFonts w:ascii="Arial" w:hAnsi="Arial" w:cs="Arial"/>
          <w:b/>
          <w:sz w:val="20"/>
          <w:szCs w:val="20"/>
        </w:rPr>
        <w:t>All jurisdictions</w:t>
      </w:r>
      <w:r w:rsidRPr="00876EB6">
        <w:rPr>
          <w:rFonts w:ascii="Arial" w:hAnsi="Arial" w:cs="Arial"/>
          <w:b/>
          <w:sz w:val="20"/>
          <w:szCs w:val="20"/>
        </w:rPr>
        <w:t xml:space="preserve"> </w:t>
      </w:r>
    </w:p>
    <w:tbl>
      <w:tblPr>
        <w:tblStyle w:val="LightShading"/>
        <w:tblW w:w="8959" w:type="dxa"/>
        <w:tblLayout w:type="fixed"/>
        <w:tblLook w:val="0620" w:firstRow="1" w:lastRow="0" w:firstColumn="0" w:lastColumn="0" w:noHBand="1" w:noVBand="1"/>
        <w:tblCaption w:val="Table A.4: Amount of analysed iodine in all bread types - Summary data phase 1 bread survey: All jurisdictions "/>
      </w:tblPr>
      <w:tblGrid>
        <w:gridCol w:w="1526"/>
        <w:gridCol w:w="1287"/>
        <w:gridCol w:w="1118"/>
        <w:gridCol w:w="1139"/>
        <w:gridCol w:w="1134"/>
        <w:gridCol w:w="1275"/>
        <w:gridCol w:w="1480"/>
      </w:tblGrid>
      <w:tr w:rsidR="00DC49D0" w:rsidRPr="00DC49D0" w14:paraId="5D734C0C" w14:textId="77777777" w:rsidTr="006059FC">
        <w:trPr>
          <w:cnfStyle w:val="100000000000" w:firstRow="1" w:lastRow="0" w:firstColumn="0" w:lastColumn="0" w:oddVBand="0" w:evenVBand="0" w:oddHBand="0" w:evenHBand="0" w:firstRowFirstColumn="0" w:firstRowLastColumn="0" w:lastRowFirstColumn="0" w:lastRowLastColumn="0"/>
          <w:trHeight w:val="328"/>
          <w:tblHeader/>
        </w:trPr>
        <w:tc>
          <w:tcPr>
            <w:tcW w:w="1526" w:type="dxa"/>
            <w:vMerge w:val="restart"/>
            <w:tcBorders>
              <w:bottom w:val="single" w:sz="4" w:space="0" w:color="auto"/>
            </w:tcBorders>
          </w:tcPr>
          <w:p w14:paraId="5D734C04" w14:textId="77777777" w:rsidR="001F2D8D" w:rsidRDefault="001F2D8D" w:rsidP="00CC5193">
            <w:pPr>
              <w:rPr>
                <w:rFonts w:ascii="Arial" w:hAnsi="Arial" w:cs="Arial"/>
                <w:b w:val="0"/>
                <w:sz w:val="20"/>
                <w:szCs w:val="20"/>
              </w:rPr>
            </w:pPr>
          </w:p>
          <w:p w14:paraId="5D734C05" w14:textId="77777777" w:rsidR="00DC49D0" w:rsidRPr="00DC49D0" w:rsidRDefault="00DC49D0" w:rsidP="00CC5193">
            <w:pPr>
              <w:rPr>
                <w:rFonts w:ascii="Arial" w:hAnsi="Arial" w:cs="Arial"/>
                <w:b w:val="0"/>
                <w:sz w:val="20"/>
                <w:szCs w:val="20"/>
              </w:rPr>
            </w:pPr>
            <w:r w:rsidRPr="00DC49D0">
              <w:rPr>
                <w:rFonts w:ascii="Arial" w:hAnsi="Arial" w:cs="Arial"/>
                <w:sz w:val="20"/>
                <w:szCs w:val="20"/>
              </w:rPr>
              <w:t>Bread Type</w:t>
            </w:r>
          </w:p>
        </w:tc>
        <w:tc>
          <w:tcPr>
            <w:tcW w:w="1287" w:type="dxa"/>
            <w:vMerge w:val="restart"/>
            <w:tcBorders>
              <w:bottom w:val="single" w:sz="4" w:space="0" w:color="auto"/>
            </w:tcBorders>
          </w:tcPr>
          <w:p w14:paraId="5D734C06" w14:textId="77777777" w:rsidR="001F2D8D" w:rsidRDefault="001F2D8D" w:rsidP="00CC5193">
            <w:pPr>
              <w:rPr>
                <w:rFonts w:ascii="Arial" w:hAnsi="Arial" w:cs="Arial"/>
                <w:b w:val="0"/>
                <w:sz w:val="20"/>
                <w:szCs w:val="20"/>
              </w:rPr>
            </w:pPr>
          </w:p>
          <w:p w14:paraId="5D734C07" w14:textId="77777777" w:rsidR="00DC49D0" w:rsidRPr="00DC49D0" w:rsidRDefault="001F2D8D" w:rsidP="00CC5193">
            <w:pPr>
              <w:rPr>
                <w:rFonts w:ascii="Arial" w:hAnsi="Arial" w:cs="Arial"/>
                <w:b w:val="0"/>
                <w:sz w:val="20"/>
                <w:szCs w:val="20"/>
              </w:rPr>
            </w:pPr>
            <w:r>
              <w:rPr>
                <w:rFonts w:ascii="Arial" w:hAnsi="Arial" w:cs="Arial"/>
                <w:sz w:val="20"/>
                <w:szCs w:val="20"/>
              </w:rPr>
              <w:t>Number</w:t>
            </w:r>
            <w:r w:rsidR="00DC49D0" w:rsidRPr="00DC49D0">
              <w:rPr>
                <w:rFonts w:ascii="Arial" w:hAnsi="Arial" w:cs="Arial"/>
                <w:sz w:val="20"/>
                <w:szCs w:val="20"/>
              </w:rPr>
              <w:t xml:space="preserve"> of samples</w:t>
            </w:r>
          </w:p>
        </w:tc>
        <w:tc>
          <w:tcPr>
            <w:tcW w:w="3391" w:type="dxa"/>
            <w:gridSpan w:val="3"/>
            <w:tcBorders>
              <w:bottom w:val="single" w:sz="4" w:space="0" w:color="auto"/>
            </w:tcBorders>
          </w:tcPr>
          <w:p w14:paraId="5D734C08" w14:textId="77777777" w:rsidR="00DC49D0" w:rsidRPr="00DC49D0" w:rsidRDefault="00DC49D0" w:rsidP="00CC5193">
            <w:pPr>
              <w:jc w:val="center"/>
              <w:rPr>
                <w:rFonts w:ascii="Arial" w:hAnsi="Arial" w:cs="Arial"/>
                <w:b w:val="0"/>
                <w:sz w:val="20"/>
                <w:szCs w:val="20"/>
              </w:rPr>
            </w:pPr>
            <w:r w:rsidRPr="00DC49D0">
              <w:rPr>
                <w:rFonts w:ascii="Arial" w:hAnsi="Arial" w:cs="Arial"/>
                <w:sz w:val="20"/>
                <w:szCs w:val="20"/>
              </w:rPr>
              <w:t>Iodine (</w:t>
            </w:r>
            <w:r w:rsidR="00C22861">
              <w:rPr>
                <w:rFonts w:ascii="Arial" w:hAnsi="Arial" w:cs="Arial"/>
                <w:sz w:val="20"/>
                <w:szCs w:val="20"/>
              </w:rPr>
              <w:t>µg</w:t>
            </w:r>
            <w:r w:rsidRPr="00DC49D0">
              <w:rPr>
                <w:rFonts w:ascii="Arial" w:hAnsi="Arial" w:cs="Arial"/>
                <w:sz w:val="20"/>
                <w:szCs w:val="20"/>
              </w:rPr>
              <w:t>/100g)</w:t>
            </w:r>
          </w:p>
        </w:tc>
        <w:tc>
          <w:tcPr>
            <w:tcW w:w="1275" w:type="dxa"/>
            <w:vMerge w:val="restart"/>
            <w:tcBorders>
              <w:bottom w:val="single" w:sz="4" w:space="0" w:color="auto"/>
            </w:tcBorders>
          </w:tcPr>
          <w:p w14:paraId="5D734C09" w14:textId="77777777" w:rsidR="001F2D8D" w:rsidRDefault="001F2D8D" w:rsidP="00CC5193">
            <w:pPr>
              <w:rPr>
                <w:rFonts w:ascii="Arial" w:hAnsi="Arial" w:cs="Arial"/>
                <w:b w:val="0"/>
                <w:sz w:val="20"/>
                <w:szCs w:val="20"/>
              </w:rPr>
            </w:pPr>
          </w:p>
          <w:p w14:paraId="5D734C0A" w14:textId="77777777" w:rsidR="00DC49D0" w:rsidRPr="00DC49D0" w:rsidRDefault="00DC49D0" w:rsidP="00CC5193">
            <w:pPr>
              <w:rPr>
                <w:rFonts w:ascii="Arial" w:hAnsi="Arial" w:cs="Arial"/>
                <w:b w:val="0"/>
                <w:sz w:val="20"/>
                <w:szCs w:val="20"/>
              </w:rPr>
            </w:pPr>
            <w:r w:rsidRPr="00DC49D0">
              <w:rPr>
                <w:rFonts w:ascii="Arial" w:hAnsi="Arial" w:cs="Arial"/>
                <w:sz w:val="20"/>
                <w:szCs w:val="20"/>
              </w:rPr>
              <w:t>Standard Deviation</w:t>
            </w:r>
          </w:p>
        </w:tc>
        <w:tc>
          <w:tcPr>
            <w:tcW w:w="1480" w:type="dxa"/>
            <w:vMerge w:val="restart"/>
            <w:tcBorders>
              <w:bottom w:val="single" w:sz="4" w:space="0" w:color="auto"/>
            </w:tcBorders>
          </w:tcPr>
          <w:p w14:paraId="5D734C0B" w14:textId="77777777" w:rsidR="00DC49D0" w:rsidRPr="00DC49D0" w:rsidRDefault="00DC49D0" w:rsidP="00CC5193">
            <w:pPr>
              <w:rPr>
                <w:rFonts w:ascii="Arial" w:hAnsi="Arial" w:cs="Arial"/>
                <w:b w:val="0"/>
                <w:sz w:val="20"/>
                <w:szCs w:val="20"/>
              </w:rPr>
            </w:pPr>
            <w:r w:rsidRPr="00DC49D0">
              <w:rPr>
                <w:rFonts w:ascii="Arial" w:hAnsi="Arial" w:cs="Arial"/>
                <w:sz w:val="20"/>
                <w:szCs w:val="20"/>
              </w:rPr>
              <w:t>Mean moisture content (g/100g)</w:t>
            </w:r>
          </w:p>
        </w:tc>
      </w:tr>
      <w:tr w:rsidR="00DC49D0" w:rsidRPr="00DC49D0" w14:paraId="5D734C14" w14:textId="77777777" w:rsidTr="006059FC">
        <w:trPr>
          <w:cnfStyle w:val="100000000000" w:firstRow="1" w:lastRow="0" w:firstColumn="0" w:lastColumn="0" w:oddVBand="0" w:evenVBand="0" w:oddHBand="0" w:evenHBand="0" w:firstRowFirstColumn="0" w:firstRowLastColumn="0" w:lastRowFirstColumn="0" w:lastRowLastColumn="0"/>
          <w:trHeight w:val="590"/>
          <w:tblHeader/>
        </w:trPr>
        <w:tc>
          <w:tcPr>
            <w:tcW w:w="1526" w:type="dxa"/>
            <w:vMerge/>
            <w:tcBorders>
              <w:bottom w:val="single" w:sz="4" w:space="0" w:color="auto"/>
            </w:tcBorders>
          </w:tcPr>
          <w:p w14:paraId="5D734C0D" w14:textId="77777777" w:rsidR="00DC49D0" w:rsidRPr="00DC49D0" w:rsidRDefault="00DC49D0" w:rsidP="00CC5193">
            <w:pPr>
              <w:rPr>
                <w:rFonts w:ascii="Arial" w:hAnsi="Arial" w:cs="Arial"/>
                <w:b w:val="0"/>
                <w:sz w:val="20"/>
                <w:szCs w:val="20"/>
              </w:rPr>
            </w:pPr>
          </w:p>
        </w:tc>
        <w:tc>
          <w:tcPr>
            <w:tcW w:w="1287" w:type="dxa"/>
            <w:vMerge/>
            <w:tcBorders>
              <w:bottom w:val="single" w:sz="4" w:space="0" w:color="auto"/>
            </w:tcBorders>
          </w:tcPr>
          <w:p w14:paraId="5D734C0E" w14:textId="77777777" w:rsidR="00DC49D0" w:rsidRPr="00DC49D0" w:rsidRDefault="00DC49D0" w:rsidP="00CC5193">
            <w:pPr>
              <w:rPr>
                <w:rFonts w:ascii="Arial" w:hAnsi="Arial" w:cs="Arial"/>
                <w:sz w:val="20"/>
                <w:szCs w:val="20"/>
              </w:rPr>
            </w:pPr>
          </w:p>
        </w:tc>
        <w:tc>
          <w:tcPr>
            <w:tcW w:w="1118" w:type="dxa"/>
            <w:tcBorders>
              <w:top w:val="single" w:sz="4" w:space="0" w:color="auto"/>
              <w:bottom w:val="single" w:sz="4" w:space="0" w:color="auto"/>
            </w:tcBorders>
          </w:tcPr>
          <w:p w14:paraId="5D734C0F" w14:textId="77777777" w:rsidR="00DC49D0" w:rsidRPr="00DC49D0" w:rsidRDefault="00DC49D0" w:rsidP="00CC5193">
            <w:pPr>
              <w:rPr>
                <w:rFonts w:ascii="Arial" w:hAnsi="Arial" w:cs="Arial"/>
                <w:b w:val="0"/>
                <w:sz w:val="20"/>
                <w:szCs w:val="20"/>
              </w:rPr>
            </w:pPr>
            <w:r w:rsidRPr="00DC49D0">
              <w:rPr>
                <w:rFonts w:ascii="Arial" w:hAnsi="Arial" w:cs="Arial"/>
                <w:sz w:val="20"/>
                <w:szCs w:val="20"/>
              </w:rPr>
              <w:t xml:space="preserve">Mean </w:t>
            </w:r>
          </w:p>
        </w:tc>
        <w:tc>
          <w:tcPr>
            <w:tcW w:w="1139" w:type="dxa"/>
            <w:tcBorders>
              <w:top w:val="single" w:sz="4" w:space="0" w:color="auto"/>
              <w:bottom w:val="single" w:sz="4" w:space="0" w:color="auto"/>
            </w:tcBorders>
          </w:tcPr>
          <w:p w14:paraId="5D734C10" w14:textId="77777777" w:rsidR="00DC49D0" w:rsidRPr="00DC49D0" w:rsidRDefault="00DC49D0" w:rsidP="00CC5193">
            <w:pPr>
              <w:rPr>
                <w:rFonts w:ascii="Arial" w:hAnsi="Arial" w:cs="Arial"/>
                <w:b w:val="0"/>
                <w:sz w:val="20"/>
                <w:szCs w:val="20"/>
              </w:rPr>
            </w:pPr>
            <w:r w:rsidRPr="00DC49D0">
              <w:rPr>
                <w:rFonts w:ascii="Arial" w:hAnsi="Arial" w:cs="Arial"/>
                <w:sz w:val="20"/>
                <w:szCs w:val="20"/>
              </w:rPr>
              <w:t>Maximum</w:t>
            </w:r>
          </w:p>
        </w:tc>
        <w:tc>
          <w:tcPr>
            <w:tcW w:w="1134" w:type="dxa"/>
            <w:tcBorders>
              <w:top w:val="single" w:sz="4" w:space="0" w:color="auto"/>
              <w:bottom w:val="single" w:sz="4" w:space="0" w:color="auto"/>
            </w:tcBorders>
          </w:tcPr>
          <w:p w14:paraId="5D734C11" w14:textId="77777777" w:rsidR="00DC49D0" w:rsidRPr="00DC49D0" w:rsidRDefault="00DC49D0" w:rsidP="00CC5193">
            <w:pPr>
              <w:rPr>
                <w:rFonts w:ascii="Arial" w:hAnsi="Arial" w:cs="Arial"/>
                <w:b w:val="0"/>
                <w:sz w:val="20"/>
                <w:szCs w:val="20"/>
              </w:rPr>
            </w:pPr>
            <w:r w:rsidRPr="00DC49D0">
              <w:rPr>
                <w:rFonts w:ascii="Arial" w:hAnsi="Arial" w:cs="Arial"/>
                <w:sz w:val="20"/>
                <w:szCs w:val="20"/>
              </w:rPr>
              <w:t>Minimum</w:t>
            </w:r>
          </w:p>
        </w:tc>
        <w:tc>
          <w:tcPr>
            <w:tcW w:w="1275" w:type="dxa"/>
            <w:vMerge/>
            <w:tcBorders>
              <w:top w:val="nil"/>
              <w:bottom w:val="single" w:sz="4" w:space="0" w:color="auto"/>
            </w:tcBorders>
          </w:tcPr>
          <w:p w14:paraId="5D734C12" w14:textId="77777777" w:rsidR="00DC49D0" w:rsidRPr="00DC49D0" w:rsidRDefault="00DC49D0" w:rsidP="00CC5193">
            <w:pPr>
              <w:rPr>
                <w:rFonts w:ascii="Arial" w:hAnsi="Arial" w:cs="Arial"/>
                <w:sz w:val="20"/>
                <w:szCs w:val="20"/>
              </w:rPr>
            </w:pPr>
          </w:p>
        </w:tc>
        <w:tc>
          <w:tcPr>
            <w:tcW w:w="1480" w:type="dxa"/>
            <w:vMerge/>
            <w:tcBorders>
              <w:top w:val="nil"/>
              <w:bottom w:val="single" w:sz="4" w:space="0" w:color="auto"/>
            </w:tcBorders>
          </w:tcPr>
          <w:p w14:paraId="5D734C13" w14:textId="77777777" w:rsidR="00DC49D0" w:rsidRPr="00DC49D0" w:rsidRDefault="00DC49D0" w:rsidP="00CC5193">
            <w:pPr>
              <w:rPr>
                <w:rFonts w:ascii="Arial" w:hAnsi="Arial" w:cs="Arial"/>
                <w:sz w:val="20"/>
                <w:szCs w:val="20"/>
              </w:rPr>
            </w:pPr>
          </w:p>
        </w:tc>
      </w:tr>
      <w:tr w:rsidR="00DC49D0" w:rsidRPr="00DC49D0" w14:paraId="5D734C1C" w14:textId="77777777" w:rsidTr="00E51250">
        <w:trPr>
          <w:trHeight w:val="653"/>
        </w:trPr>
        <w:tc>
          <w:tcPr>
            <w:tcW w:w="1526" w:type="dxa"/>
            <w:tcBorders>
              <w:top w:val="single" w:sz="4" w:space="0" w:color="auto"/>
            </w:tcBorders>
          </w:tcPr>
          <w:p w14:paraId="5D734C15" w14:textId="77777777" w:rsidR="00DC49D0" w:rsidRPr="00DC49D0" w:rsidRDefault="00DC49D0" w:rsidP="00CC5193">
            <w:pPr>
              <w:rPr>
                <w:rFonts w:ascii="Arial" w:hAnsi="Arial" w:cs="Arial"/>
                <w:sz w:val="20"/>
                <w:szCs w:val="20"/>
              </w:rPr>
            </w:pPr>
            <w:r w:rsidRPr="00DC49D0">
              <w:rPr>
                <w:rFonts w:ascii="Arial" w:hAnsi="Arial" w:cs="Arial"/>
                <w:sz w:val="20"/>
                <w:szCs w:val="20"/>
              </w:rPr>
              <w:t xml:space="preserve">White </w:t>
            </w:r>
            <w:r w:rsidR="00876EB6">
              <w:rPr>
                <w:rFonts w:ascii="Arial" w:hAnsi="Arial" w:cs="Arial"/>
                <w:sz w:val="20"/>
                <w:szCs w:val="20"/>
              </w:rPr>
              <w:t>bread</w:t>
            </w:r>
          </w:p>
        </w:tc>
        <w:tc>
          <w:tcPr>
            <w:tcW w:w="1287" w:type="dxa"/>
            <w:tcBorders>
              <w:top w:val="single" w:sz="4" w:space="0" w:color="auto"/>
            </w:tcBorders>
          </w:tcPr>
          <w:p w14:paraId="5D734C16"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28</w:t>
            </w:r>
          </w:p>
        </w:tc>
        <w:tc>
          <w:tcPr>
            <w:tcW w:w="1118" w:type="dxa"/>
            <w:tcBorders>
              <w:top w:val="single" w:sz="4" w:space="0" w:color="auto"/>
            </w:tcBorders>
          </w:tcPr>
          <w:p w14:paraId="5D734C17"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63</w:t>
            </w:r>
          </w:p>
        </w:tc>
        <w:tc>
          <w:tcPr>
            <w:tcW w:w="1139" w:type="dxa"/>
            <w:tcBorders>
              <w:top w:val="single" w:sz="4" w:space="0" w:color="auto"/>
            </w:tcBorders>
          </w:tcPr>
          <w:p w14:paraId="5D734C18"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270</w:t>
            </w:r>
          </w:p>
        </w:tc>
        <w:tc>
          <w:tcPr>
            <w:tcW w:w="1134" w:type="dxa"/>
            <w:tcBorders>
              <w:top w:val="single" w:sz="4" w:space="0" w:color="auto"/>
            </w:tcBorders>
          </w:tcPr>
          <w:p w14:paraId="5D734C19"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w:t>
            </w:r>
          </w:p>
        </w:tc>
        <w:tc>
          <w:tcPr>
            <w:tcW w:w="1275" w:type="dxa"/>
            <w:tcBorders>
              <w:top w:val="single" w:sz="4" w:space="0" w:color="auto"/>
            </w:tcBorders>
          </w:tcPr>
          <w:p w14:paraId="5D734C1A"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46</w:t>
            </w:r>
          </w:p>
        </w:tc>
        <w:tc>
          <w:tcPr>
            <w:tcW w:w="1480" w:type="dxa"/>
            <w:tcBorders>
              <w:top w:val="single" w:sz="4" w:space="0" w:color="auto"/>
            </w:tcBorders>
          </w:tcPr>
          <w:p w14:paraId="5D734C1B"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38</w:t>
            </w:r>
          </w:p>
        </w:tc>
      </w:tr>
      <w:tr w:rsidR="00DC49D0" w:rsidRPr="00DC49D0" w14:paraId="5D734C24" w14:textId="77777777" w:rsidTr="00DD0E98">
        <w:trPr>
          <w:trHeight w:val="562"/>
        </w:trPr>
        <w:tc>
          <w:tcPr>
            <w:tcW w:w="1526" w:type="dxa"/>
          </w:tcPr>
          <w:p w14:paraId="5D734C1D" w14:textId="77777777" w:rsidR="00DC49D0" w:rsidRPr="00DC49D0" w:rsidRDefault="00DC49D0" w:rsidP="00CC5193">
            <w:pPr>
              <w:rPr>
                <w:rFonts w:ascii="Arial" w:hAnsi="Arial" w:cs="Arial"/>
                <w:sz w:val="20"/>
                <w:szCs w:val="20"/>
              </w:rPr>
            </w:pPr>
            <w:r w:rsidRPr="00DC49D0">
              <w:rPr>
                <w:rFonts w:ascii="Arial" w:hAnsi="Arial" w:cs="Arial"/>
                <w:sz w:val="20"/>
                <w:szCs w:val="20"/>
              </w:rPr>
              <w:t xml:space="preserve">Wholemeal </w:t>
            </w:r>
            <w:r w:rsidR="00876EB6">
              <w:rPr>
                <w:rFonts w:ascii="Arial" w:hAnsi="Arial" w:cs="Arial"/>
                <w:sz w:val="20"/>
                <w:szCs w:val="20"/>
              </w:rPr>
              <w:t>bread</w:t>
            </w:r>
          </w:p>
        </w:tc>
        <w:tc>
          <w:tcPr>
            <w:tcW w:w="1287" w:type="dxa"/>
          </w:tcPr>
          <w:p w14:paraId="5D734C1E"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16</w:t>
            </w:r>
          </w:p>
        </w:tc>
        <w:tc>
          <w:tcPr>
            <w:tcW w:w="1118" w:type="dxa"/>
          </w:tcPr>
          <w:p w14:paraId="5D734C1F"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70</w:t>
            </w:r>
          </w:p>
        </w:tc>
        <w:tc>
          <w:tcPr>
            <w:tcW w:w="1139" w:type="dxa"/>
          </w:tcPr>
          <w:p w14:paraId="5D734C20"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140</w:t>
            </w:r>
          </w:p>
        </w:tc>
        <w:tc>
          <w:tcPr>
            <w:tcW w:w="1134" w:type="dxa"/>
          </w:tcPr>
          <w:p w14:paraId="5D734C21"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38</w:t>
            </w:r>
          </w:p>
        </w:tc>
        <w:tc>
          <w:tcPr>
            <w:tcW w:w="1275" w:type="dxa"/>
          </w:tcPr>
          <w:p w14:paraId="5D734C22"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38</w:t>
            </w:r>
          </w:p>
        </w:tc>
        <w:tc>
          <w:tcPr>
            <w:tcW w:w="1480" w:type="dxa"/>
          </w:tcPr>
          <w:p w14:paraId="5D734C23"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40</w:t>
            </w:r>
          </w:p>
        </w:tc>
      </w:tr>
      <w:tr w:rsidR="00DC49D0" w:rsidRPr="00DC49D0" w14:paraId="5D734C2C" w14:textId="77777777" w:rsidTr="00DD0E98">
        <w:trPr>
          <w:trHeight w:val="530"/>
        </w:trPr>
        <w:tc>
          <w:tcPr>
            <w:tcW w:w="1526" w:type="dxa"/>
          </w:tcPr>
          <w:p w14:paraId="5D734C25" w14:textId="77777777" w:rsidR="00DC49D0" w:rsidRPr="00DC49D0" w:rsidRDefault="00DC49D0" w:rsidP="00CC5193">
            <w:pPr>
              <w:rPr>
                <w:rFonts w:ascii="Arial" w:hAnsi="Arial" w:cs="Arial"/>
                <w:sz w:val="20"/>
                <w:szCs w:val="20"/>
              </w:rPr>
            </w:pPr>
            <w:r w:rsidRPr="00DC49D0">
              <w:rPr>
                <w:rFonts w:ascii="Arial" w:hAnsi="Arial" w:cs="Arial"/>
                <w:sz w:val="20"/>
                <w:szCs w:val="20"/>
              </w:rPr>
              <w:t>Multigrain and seeds</w:t>
            </w:r>
            <w:r w:rsidR="00876EB6">
              <w:rPr>
                <w:rFonts w:ascii="Arial" w:hAnsi="Arial" w:cs="Arial"/>
                <w:sz w:val="20"/>
                <w:szCs w:val="20"/>
              </w:rPr>
              <w:t xml:space="preserve"> </w:t>
            </w:r>
          </w:p>
        </w:tc>
        <w:tc>
          <w:tcPr>
            <w:tcW w:w="1287" w:type="dxa"/>
          </w:tcPr>
          <w:p w14:paraId="5D734C26" w14:textId="77777777" w:rsidR="00DC49D0" w:rsidRPr="00DC49D0" w:rsidRDefault="00DC49D0" w:rsidP="00CC5193">
            <w:pPr>
              <w:jc w:val="right"/>
              <w:rPr>
                <w:rFonts w:ascii="Arial" w:hAnsi="Arial" w:cs="Arial"/>
                <w:sz w:val="20"/>
                <w:szCs w:val="20"/>
              </w:rPr>
            </w:pPr>
            <w:r>
              <w:rPr>
                <w:rFonts w:ascii="Arial" w:hAnsi="Arial" w:cs="Arial"/>
                <w:sz w:val="20"/>
                <w:szCs w:val="20"/>
              </w:rPr>
              <w:t>1</w:t>
            </w:r>
            <w:r w:rsidR="00516969">
              <w:rPr>
                <w:rFonts w:ascii="Arial" w:hAnsi="Arial" w:cs="Arial"/>
                <w:sz w:val="20"/>
                <w:szCs w:val="20"/>
              </w:rPr>
              <w:t>7</w:t>
            </w:r>
          </w:p>
        </w:tc>
        <w:tc>
          <w:tcPr>
            <w:tcW w:w="1118" w:type="dxa"/>
          </w:tcPr>
          <w:p w14:paraId="5D734C27"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57</w:t>
            </w:r>
          </w:p>
        </w:tc>
        <w:tc>
          <w:tcPr>
            <w:tcW w:w="1139" w:type="dxa"/>
          </w:tcPr>
          <w:p w14:paraId="5D734C28"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140</w:t>
            </w:r>
          </w:p>
        </w:tc>
        <w:tc>
          <w:tcPr>
            <w:tcW w:w="1134" w:type="dxa"/>
          </w:tcPr>
          <w:p w14:paraId="5D734C29"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30</w:t>
            </w:r>
          </w:p>
        </w:tc>
        <w:tc>
          <w:tcPr>
            <w:tcW w:w="1275" w:type="dxa"/>
          </w:tcPr>
          <w:p w14:paraId="5D734C2A"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33</w:t>
            </w:r>
          </w:p>
        </w:tc>
        <w:tc>
          <w:tcPr>
            <w:tcW w:w="1480" w:type="dxa"/>
          </w:tcPr>
          <w:p w14:paraId="5D734C2B"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37</w:t>
            </w:r>
          </w:p>
        </w:tc>
      </w:tr>
      <w:tr w:rsidR="00DC49D0" w:rsidRPr="00DC49D0" w14:paraId="5D734C34" w14:textId="77777777" w:rsidTr="00DD0E98">
        <w:trPr>
          <w:trHeight w:val="586"/>
        </w:trPr>
        <w:tc>
          <w:tcPr>
            <w:tcW w:w="1526" w:type="dxa"/>
          </w:tcPr>
          <w:p w14:paraId="5D734C2D" w14:textId="77777777" w:rsidR="00DC49D0" w:rsidRPr="00DC49D0" w:rsidRDefault="00DC49D0" w:rsidP="00CC5193">
            <w:pPr>
              <w:rPr>
                <w:rFonts w:ascii="Arial" w:hAnsi="Arial" w:cs="Arial"/>
                <w:sz w:val="20"/>
                <w:szCs w:val="20"/>
              </w:rPr>
            </w:pPr>
            <w:r w:rsidRPr="00DC49D0">
              <w:rPr>
                <w:rFonts w:ascii="Arial" w:hAnsi="Arial" w:cs="Arial"/>
                <w:sz w:val="20"/>
                <w:szCs w:val="20"/>
              </w:rPr>
              <w:t>English muffins</w:t>
            </w:r>
          </w:p>
        </w:tc>
        <w:tc>
          <w:tcPr>
            <w:tcW w:w="1287" w:type="dxa"/>
          </w:tcPr>
          <w:p w14:paraId="5D734C2E"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8</w:t>
            </w:r>
          </w:p>
        </w:tc>
        <w:tc>
          <w:tcPr>
            <w:tcW w:w="1118" w:type="dxa"/>
          </w:tcPr>
          <w:p w14:paraId="5D734C2F"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56</w:t>
            </w:r>
          </w:p>
        </w:tc>
        <w:tc>
          <w:tcPr>
            <w:tcW w:w="1139" w:type="dxa"/>
          </w:tcPr>
          <w:p w14:paraId="5D734C30"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100</w:t>
            </w:r>
          </w:p>
        </w:tc>
        <w:tc>
          <w:tcPr>
            <w:tcW w:w="1134" w:type="dxa"/>
          </w:tcPr>
          <w:p w14:paraId="5D734C31"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32</w:t>
            </w:r>
          </w:p>
        </w:tc>
        <w:tc>
          <w:tcPr>
            <w:tcW w:w="1275" w:type="dxa"/>
          </w:tcPr>
          <w:p w14:paraId="5D734C32"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30</w:t>
            </w:r>
          </w:p>
        </w:tc>
        <w:tc>
          <w:tcPr>
            <w:tcW w:w="1480" w:type="dxa"/>
          </w:tcPr>
          <w:p w14:paraId="5D734C33"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44</w:t>
            </w:r>
          </w:p>
        </w:tc>
      </w:tr>
      <w:tr w:rsidR="00DC49D0" w:rsidRPr="00DC49D0" w14:paraId="5D734C3C" w14:textId="77777777" w:rsidTr="00DD0E98">
        <w:trPr>
          <w:trHeight w:val="749"/>
        </w:trPr>
        <w:tc>
          <w:tcPr>
            <w:tcW w:w="1526" w:type="dxa"/>
          </w:tcPr>
          <w:p w14:paraId="5D734C35" w14:textId="77777777" w:rsidR="00DC49D0" w:rsidRPr="00DC49D0" w:rsidRDefault="00DC49D0" w:rsidP="00CC5193">
            <w:pPr>
              <w:rPr>
                <w:rFonts w:ascii="Arial" w:hAnsi="Arial" w:cs="Arial"/>
                <w:sz w:val="20"/>
                <w:szCs w:val="20"/>
              </w:rPr>
            </w:pPr>
            <w:r w:rsidRPr="00DC49D0">
              <w:rPr>
                <w:rFonts w:ascii="Arial" w:hAnsi="Arial" w:cs="Arial"/>
                <w:sz w:val="20"/>
                <w:szCs w:val="20"/>
              </w:rPr>
              <w:t>Flat breads/ Wraps</w:t>
            </w:r>
          </w:p>
        </w:tc>
        <w:tc>
          <w:tcPr>
            <w:tcW w:w="1287" w:type="dxa"/>
          </w:tcPr>
          <w:p w14:paraId="5D734C36"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8</w:t>
            </w:r>
          </w:p>
        </w:tc>
        <w:tc>
          <w:tcPr>
            <w:tcW w:w="1118" w:type="dxa"/>
          </w:tcPr>
          <w:p w14:paraId="5D734C37"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55</w:t>
            </w:r>
          </w:p>
        </w:tc>
        <w:tc>
          <w:tcPr>
            <w:tcW w:w="1139" w:type="dxa"/>
          </w:tcPr>
          <w:p w14:paraId="5D734C38"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150</w:t>
            </w:r>
          </w:p>
        </w:tc>
        <w:tc>
          <w:tcPr>
            <w:tcW w:w="1134" w:type="dxa"/>
          </w:tcPr>
          <w:p w14:paraId="5D734C39"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0.5</w:t>
            </w:r>
          </w:p>
        </w:tc>
        <w:tc>
          <w:tcPr>
            <w:tcW w:w="1275" w:type="dxa"/>
          </w:tcPr>
          <w:p w14:paraId="5D734C3A"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47</w:t>
            </w:r>
          </w:p>
        </w:tc>
        <w:tc>
          <w:tcPr>
            <w:tcW w:w="1480" w:type="dxa"/>
          </w:tcPr>
          <w:p w14:paraId="5D734C3B" w14:textId="77777777" w:rsidR="00DC49D0" w:rsidRPr="00DC49D0" w:rsidRDefault="00DC49D0" w:rsidP="00CC5193">
            <w:pPr>
              <w:jc w:val="right"/>
              <w:rPr>
                <w:rFonts w:ascii="Arial" w:hAnsi="Arial" w:cs="Arial"/>
                <w:sz w:val="20"/>
                <w:szCs w:val="20"/>
              </w:rPr>
            </w:pPr>
            <w:r w:rsidRPr="00DC49D0">
              <w:rPr>
                <w:rFonts w:ascii="Arial" w:hAnsi="Arial" w:cs="Arial"/>
                <w:sz w:val="20"/>
                <w:szCs w:val="20"/>
              </w:rPr>
              <w:t>30</w:t>
            </w:r>
          </w:p>
        </w:tc>
      </w:tr>
      <w:tr w:rsidR="00AE49C0" w:rsidRPr="00DC49D0" w14:paraId="5D734C44" w14:textId="77777777" w:rsidTr="00DD0E98">
        <w:trPr>
          <w:trHeight w:val="509"/>
        </w:trPr>
        <w:tc>
          <w:tcPr>
            <w:tcW w:w="1526" w:type="dxa"/>
          </w:tcPr>
          <w:p w14:paraId="5D734C3D" w14:textId="77777777" w:rsidR="00AE49C0" w:rsidRPr="00DC49D0" w:rsidRDefault="00AE49C0" w:rsidP="00CC5193">
            <w:pPr>
              <w:rPr>
                <w:rFonts w:ascii="Arial" w:hAnsi="Arial" w:cs="Arial"/>
                <w:sz w:val="20"/>
                <w:szCs w:val="20"/>
              </w:rPr>
            </w:pPr>
            <w:r w:rsidRPr="00DC49D0">
              <w:rPr>
                <w:rFonts w:ascii="Arial" w:hAnsi="Arial" w:cs="Arial"/>
                <w:sz w:val="20"/>
                <w:szCs w:val="20"/>
              </w:rPr>
              <w:t>Gluten free</w:t>
            </w:r>
            <w:r w:rsidR="00876EB6">
              <w:rPr>
                <w:rFonts w:ascii="Arial" w:hAnsi="Arial" w:cs="Arial"/>
                <w:sz w:val="20"/>
                <w:szCs w:val="20"/>
              </w:rPr>
              <w:t xml:space="preserve"> bread</w:t>
            </w:r>
          </w:p>
        </w:tc>
        <w:tc>
          <w:tcPr>
            <w:tcW w:w="1287" w:type="dxa"/>
          </w:tcPr>
          <w:p w14:paraId="5D734C3E"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16</w:t>
            </w:r>
          </w:p>
        </w:tc>
        <w:tc>
          <w:tcPr>
            <w:tcW w:w="1118" w:type="dxa"/>
          </w:tcPr>
          <w:p w14:paraId="5D734C3F"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125</w:t>
            </w:r>
          </w:p>
        </w:tc>
        <w:tc>
          <w:tcPr>
            <w:tcW w:w="1139" w:type="dxa"/>
          </w:tcPr>
          <w:p w14:paraId="5D734C40"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980</w:t>
            </w:r>
          </w:p>
        </w:tc>
        <w:tc>
          <w:tcPr>
            <w:tcW w:w="1134" w:type="dxa"/>
          </w:tcPr>
          <w:p w14:paraId="5D734C41"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5</w:t>
            </w:r>
          </w:p>
        </w:tc>
        <w:tc>
          <w:tcPr>
            <w:tcW w:w="1275" w:type="dxa"/>
          </w:tcPr>
          <w:p w14:paraId="5D734C42"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232</w:t>
            </w:r>
          </w:p>
        </w:tc>
        <w:tc>
          <w:tcPr>
            <w:tcW w:w="1480" w:type="dxa"/>
          </w:tcPr>
          <w:p w14:paraId="5D734C43"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46</w:t>
            </w:r>
          </w:p>
        </w:tc>
      </w:tr>
      <w:tr w:rsidR="00AE49C0" w:rsidRPr="00DC49D0" w14:paraId="5D734C4D" w14:textId="77777777" w:rsidTr="00DD0E98">
        <w:trPr>
          <w:trHeight w:val="1084"/>
        </w:trPr>
        <w:tc>
          <w:tcPr>
            <w:tcW w:w="1526" w:type="dxa"/>
          </w:tcPr>
          <w:p w14:paraId="5D734C45" w14:textId="77777777" w:rsidR="00AE49C0" w:rsidRPr="00DC49D0" w:rsidRDefault="00AE49C0" w:rsidP="00CC5193">
            <w:pPr>
              <w:rPr>
                <w:rFonts w:ascii="Arial" w:hAnsi="Arial" w:cs="Arial"/>
                <w:sz w:val="20"/>
                <w:szCs w:val="20"/>
              </w:rPr>
            </w:pPr>
            <w:r w:rsidRPr="00DC49D0">
              <w:rPr>
                <w:rFonts w:ascii="Arial" w:hAnsi="Arial" w:cs="Arial"/>
                <w:sz w:val="20"/>
                <w:szCs w:val="20"/>
              </w:rPr>
              <w:t>Organic</w:t>
            </w:r>
            <w:r w:rsidR="00876EB6">
              <w:rPr>
                <w:rFonts w:ascii="Arial" w:hAnsi="Arial" w:cs="Arial"/>
                <w:sz w:val="20"/>
                <w:szCs w:val="20"/>
              </w:rPr>
              <w:t xml:space="preserve"> bread</w:t>
            </w:r>
          </w:p>
        </w:tc>
        <w:tc>
          <w:tcPr>
            <w:tcW w:w="1287" w:type="dxa"/>
          </w:tcPr>
          <w:p w14:paraId="5D734C46" w14:textId="77777777" w:rsidR="00AE49C0" w:rsidRDefault="00AE49C0" w:rsidP="00CC5193">
            <w:pPr>
              <w:jc w:val="right"/>
              <w:rPr>
                <w:rFonts w:ascii="Arial" w:hAnsi="Arial" w:cs="Arial"/>
                <w:sz w:val="20"/>
                <w:szCs w:val="20"/>
              </w:rPr>
            </w:pPr>
            <w:r w:rsidRPr="00DC49D0">
              <w:rPr>
                <w:rFonts w:ascii="Arial" w:hAnsi="Arial" w:cs="Arial"/>
                <w:sz w:val="20"/>
                <w:szCs w:val="20"/>
              </w:rPr>
              <w:t xml:space="preserve">7 </w:t>
            </w:r>
          </w:p>
          <w:p w14:paraId="5D734C47" w14:textId="77777777" w:rsidR="00AE49C0" w:rsidRPr="00DC49D0" w:rsidRDefault="00AE49C0" w:rsidP="00CC5193">
            <w:pPr>
              <w:jc w:val="right"/>
              <w:rPr>
                <w:rFonts w:ascii="Arial" w:hAnsi="Arial" w:cs="Arial"/>
                <w:sz w:val="20"/>
                <w:szCs w:val="20"/>
              </w:rPr>
            </w:pPr>
            <w:r>
              <w:rPr>
                <w:rFonts w:ascii="Arial" w:hAnsi="Arial" w:cs="Arial"/>
                <w:sz w:val="20"/>
                <w:szCs w:val="20"/>
              </w:rPr>
              <w:t>(No Tasmanian</w:t>
            </w:r>
            <w:r w:rsidRPr="00DC49D0">
              <w:rPr>
                <w:rFonts w:ascii="Arial" w:hAnsi="Arial" w:cs="Arial"/>
                <w:sz w:val="20"/>
                <w:szCs w:val="20"/>
              </w:rPr>
              <w:t xml:space="preserve">  sample)</w:t>
            </w:r>
          </w:p>
        </w:tc>
        <w:tc>
          <w:tcPr>
            <w:tcW w:w="1118" w:type="dxa"/>
          </w:tcPr>
          <w:p w14:paraId="5D734C48"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28</w:t>
            </w:r>
          </w:p>
        </w:tc>
        <w:tc>
          <w:tcPr>
            <w:tcW w:w="1139" w:type="dxa"/>
          </w:tcPr>
          <w:p w14:paraId="5D734C49"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75</w:t>
            </w:r>
          </w:p>
        </w:tc>
        <w:tc>
          <w:tcPr>
            <w:tcW w:w="1134" w:type="dxa"/>
          </w:tcPr>
          <w:p w14:paraId="5D734C4A"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0.5</w:t>
            </w:r>
          </w:p>
        </w:tc>
        <w:tc>
          <w:tcPr>
            <w:tcW w:w="1275" w:type="dxa"/>
          </w:tcPr>
          <w:p w14:paraId="5D734C4B"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27</w:t>
            </w:r>
          </w:p>
        </w:tc>
        <w:tc>
          <w:tcPr>
            <w:tcW w:w="1480" w:type="dxa"/>
          </w:tcPr>
          <w:p w14:paraId="5D734C4C" w14:textId="77777777" w:rsidR="00AE49C0" w:rsidRPr="00DC49D0" w:rsidRDefault="00AE49C0" w:rsidP="00CC5193">
            <w:pPr>
              <w:jc w:val="right"/>
              <w:rPr>
                <w:rFonts w:ascii="Arial" w:hAnsi="Arial" w:cs="Arial"/>
                <w:sz w:val="20"/>
                <w:szCs w:val="20"/>
              </w:rPr>
            </w:pPr>
            <w:r w:rsidRPr="00DC49D0">
              <w:rPr>
                <w:rFonts w:ascii="Arial" w:hAnsi="Arial" w:cs="Arial"/>
                <w:sz w:val="20"/>
                <w:szCs w:val="20"/>
              </w:rPr>
              <w:t>38</w:t>
            </w:r>
          </w:p>
        </w:tc>
      </w:tr>
    </w:tbl>
    <w:p w14:paraId="5D734C4E" w14:textId="77777777" w:rsidR="007706B5" w:rsidRPr="007706B5" w:rsidRDefault="007706B5" w:rsidP="00CC5193">
      <w:pPr>
        <w:rPr>
          <w:rFonts w:ascii="Arial" w:hAnsi="Arial" w:cs="Arial"/>
          <w:sz w:val="22"/>
        </w:rPr>
      </w:pPr>
    </w:p>
    <w:p w14:paraId="5D734C4F" w14:textId="77777777" w:rsidR="00130479" w:rsidRPr="008A27EB" w:rsidRDefault="00130479" w:rsidP="00CC5193">
      <w:pPr>
        <w:rPr>
          <w:rFonts w:ascii="Arial" w:hAnsi="Arial" w:cs="Arial"/>
          <w:sz w:val="22"/>
        </w:rPr>
      </w:pPr>
    </w:p>
    <w:p w14:paraId="5D734C50" w14:textId="77777777" w:rsidR="00130479" w:rsidRPr="008A27EB" w:rsidRDefault="00130479" w:rsidP="00CC5193">
      <w:pPr>
        <w:rPr>
          <w:rFonts w:ascii="Arial" w:hAnsi="Arial" w:cs="Arial"/>
          <w:sz w:val="22"/>
        </w:rPr>
      </w:pPr>
    </w:p>
    <w:p w14:paraId="5D734C51" w14:textId="77777777" w:rsidR="00130479" w:rsidRPr="008A27EB" w:rsidRDefault="00130479" w:rsidP="00CC5193">
      <w:pPr>
        <w:rPr>
          <w:rFonts w:ascii="Arial" w:hAnsi="Arial" w:cs="Arial"/>
          <w:sz w:val="22"/>
        </w:rPr>
      </w:pPr>
    </w:p>
    <w:p w14:paraId="5D734C52" w14:textId="77777777" w:rsidR="009E5990" w:rsidRDefault="009E5990" w:rsidP="00CC5193">
      <w:pPr>
        <w:pStyle w:val="Heading1"/>
        <w:spacing w:after="200"/>
        <w:ind w:left="0" w:firstLine="0"/>
        <w:rPr>
          <w:rFonts w:ascii="Arial" w:hAnsi="Arial" w:cs="Arial"/>
          <w:sz w:val="24"/>
          <w:szCs w:val="24"/>
        </w:rPr>
        <w:sectPr w:rsidR="009E5990" w:rsidSect="009B2030">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18" w:right="1418" w:bottom="1418" w:left="1418" w:header="709" w:footer="709" w:gutter="0"/>
          <w:pgNumType w:start="0"/>
          <w:cols w:space="708"/>
          <w:titlePg/>
          <w:docGrid w:linePitch="360"/>
        </w:sectPr>
      </w:pPr>
    </w:p>
    <w:p w14:paraId="5D734C53" w14:textId="77777777" w:rsidR="009E5990" w:rsidRPr="00E54905" w:rsidRDefault="00A14817" w:rsidP="00CC5193">
      <w:pPr>
        <w:rPr>
          <w:rFonts w:ascii="Arial" w:hAnsi="Arial" w:cs="Arial"/>
          <w:b/>
          <w:sz w:val="22"/>
        </w:rPr>
      </w:pPr>
      <w:r>
        <w:rPr>
          <w:rFonts w:ascii="Arial" w:hAnsi="Arial" w:cs="Arial"/>
          <w:b/>
          <w:sz w:val="22"/>
        </w:rPr>
        <w:lastRenderedPageBreak/>
        <w:t>Table A.</w:t>
      </w:r>
      <w:r w:rsidR="00FB6BB6">
        <w:rPr>
          <w:rFonts w:ascii="Arial" w:hAnsi="Arial" w:cs="Arial"/>
          <w:b/>
          <w:sz w:val="22"/>
        </w:rPr>
        <w:t>5</w:t>
      </w:r>
      <w:r w:rsidR="009E5990" w:rsidRPr="00E54905">
        <w:rPr>
          <w:rFonts w:ascii="Arial" w:hAnsi="Arial" w:cs="Arial"/>
          <w:b/>
          <w:sz w:val="22"/>
        </w:rPr>
        <w:t>: An example of th</w:t>
      </w:r>
      <w:r w:rsidR="00E54905">
        <w:rPr>
          <w:rFonts w:ascii="Arial" w:hAnsi="Arial" w:cs="Arial"/>
          <w:b/>
          <w:sz w:val="22"/>
        </w:rPr>
        <w:t>e bread survey sampling plan – A</w:t>
      </w:r>
      <w:r w:rsidR="009E5990" w:rsidRPr="00E54905">
        <w:rPr>
          <w:rFonts w:ascii="Arial" w:hAnsi="Arial" w:cs="Arial"/>
          <w:b/>
          <w:sz w:val="22"/>
        </w:rPr>
        <w:t>ll jurisdictions</w:t>
      </w:r>
    </w:p>
    <w:p w14:paraId="5D734C54" w14:textId="77777777" w:rsidR="009E5990" w:rsidRDefault="009E5990" w:rsidP="00CC5193">
      <w:r w:rsidRPr="009E5990">
        <w:rPr>
          <w:noProof/>
          <w:lang w:eastAsia="en-GB"/>
        </w:rPr>
        <w:drawing>
          <wp:inline distT="0" distB="0" distL="0" distR="0" wp14:anchorId="5D734D7D" wp14:editId="059AF3C6">
            <wp:extent cx="8961120" cy="4846320"/>
            <wp:effectExtent l="0" t="0" r="0" b="0"/>
            <wp:docPr id="24" name="Picture 24" title="Table A.5: An example of the bread survey sampling plan – All juris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8961120" cy="4846320"/>
                    </a:xfrm>
                    <a:prstGeom prst="rect">
                      <a:avLst/>
                    </a:prstGeom>
                    <a:noFill/>
                    <a:ln w="9525">
                      <a:noFill/>
                      <a:miter lim="800000"/>
                      <a:headEnd/>
                      <a:tailEnd/>
                    </a:ln>
                  </pic:spPr>
                </pic:pic>
              </a:graphicData>
            </a:graphic>
          </wp:inline>
        </w:drawing>
      </w:r>
    </w:p>
    <w:p w14:paraId="5D734C55" w14:textId="6F01B5FB" w:rsidR="00C41890" w:rsidRPr="00C41890" w:rsidRDefault="00B94FE5" w:rsidP="00C41890">
      <w:pPr>
        <w:jc w:val="right"/>
        <w:rPr>
          <w:rFonts w:ascii="Arial" w:hAnsi="Arial" w:cs="Arial"/>
          <w:sz w:val="20"/>
          <w:szCs w:val="20"/>
        </w:rPr>
      </w:pPr>
      <w:r>
        <w:rPr>
          <w:rFonts w:ascii="Arial" w:hAnsi="Arial" w:cs="Arial"/>
          <w:sz w:val="20"/>
          <w:szCs w:val="20"/>
        </w:rPr>
        <w:t>37</w:t>
      </w:r>
    </w:p>
    <w:p w14:paraId="5D734C56" w14:textId="77777777" w:rsidR="002169FD" w:rsidRPr="00FE77F4" w:rsidRDefault="002169FD" w:rsidP="006B57A7">
      <w:pPr>
        <w:spacing w:after="0" w:line="240" w:lineRule="auto"/>
        <w:rPr>
          <w:b/>
        </w:rPr>
      </w:pPr>
      <w:r w:rsidRPr="00FE77F4">
        <w:rPr>
          <w:rFonts w:ascii="Arial" w:hAnsi="Arial" w:cs="Arial"/>
          <w:b/>
          <w:sz w:val="22"/>
        </w:rPr>
        <w:lastRenderedPageBreak/>
        <w:t>Table A.</w:t>
      </w:r>
      <w:r w:rsidR="00FB6BB6">
        <w:rPr>
          <w:rFonts w:ascii="Arial" w:hAnsi="Arial" w:cs="Arial"/>
          <w:b/>
          <w:sz w:val="22"/>
        </w:rPr>
        <w:t>6</w:t>
      </w:r>
      <w:r w:rsidRPr="00FE77F4">
        <w:rPr>
          <w:rFonts w:ascii="Arial" w:hAnsi="Arial" w:cs="Arial"/>
          <w:b/>
          <w:sz w:val="22"/>
        </w:rPr>
        <w:t xml:space="preserve">: Estimated mean </w:t>
      </w:r>
      <w:r w:rsidR="00536FC5">
        <w:rPr>
          <w:rFonts w:ascii="Arial" w:hAnsi="Arial" w:cs="Arial"/>
          <w:b/>
          <w:sz w:val="22"/>
        </w:rPr>
        <w:t xml:space="preserve">usual </w:t>
      </w:r>
      <w:r w:rsidRPr="00FE77F4">
        <w:rPr>
          <w:rFonts w:ascii="Arial" w:hAnsi="Arial" w:cs="Arial"/>
          <w:b/>
          <w:sz w:val="22"/>
        </w:rPr>
        <w:t>iodine intake for Australians children 2-16 years above by different discretionary salt use models</w:t>
      </w:r>
    </w:p>
    <w:p w14:paraId="5D734C57" w14:textId="77777777" w:rsidR="00B34D3B" w:rsidRPr="002169FD" w:rsidRDefault="002169FD" w:rsidP="00CC5193">
      <w:r w:rsidRPr="002169FD">
        <w:rPr>
          <w:noProof/>
          <w:lang w:eastAsia="en-GB"/>
        </w:rPr>
        <w:drawing>
          <wp:inline distT="0" distB="0" distL="0" distR="0" wp14:anchorId="5D734D7F" wp14:editId="5CC77429">
            <wp:extent cx="9135963" cy="4898752"/>
            <wp:effectExtent l="0" t="0" r="0" b="0"/>
            <wp:docPr id="1" name="Picture 1" title="Table A.6: Estimated mean usual iodine intake for Australians children 2-16 years above by different discretionary salt us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37638" cy="4899650"/>
                    </a:xfrm>
                    <a:prstGeom prst="rect">
                      <a:avLst/>
                    </a:prstGeom>
                    <a:noFill/>
                    <a:ln>
                      <a:noFill/>
                    </a:ln>
                  </pic:spPr>
                </pic:pic>
              </a:graphicData>
            </a:graphic>
          </wp:inline>
        </w:drawing>
      </w:r>
      <w:r w:rsidR="00181726">
        <w:br w:type="page"/>
      </w:r>
    </w:p>
    <w:p w14:paraId="5D734C58" w14:textId="77777777" w:rsidR="006033FD" w:rsidRPr="006033FD" w:rsidRDefault="006033FD" w:rsidP="003B4FEF">
      <w:pPr>
        <w:spacing w:line="240" w:lineRule="auto"/>
        <w:rPr>
          <w:rFonts w:ascii="Arial" w:hAnsi="Arial" w:cs="Arial"/>
          <w:b/>
          <w:sz w:val="22"/>
        </w:rPr>
      </w:pPr>
      <w:r>
        <w:rPr>
          <w:rFonts w:ascii="Arial" w:hAnsi="Arial" w:cs="Arial"/>
          <w:b/>
          <w:sz w:val="22"/>
        </w:rPr>
        <w:lastRenderedPageBreak/>
        <w:t>Table A.</w:t>
      </w:r>
      <w:r w:rsidR="00FB6BB6">
        <w:rPr>
          <w:rFonts w:ascii="Arial" w:hAnsi="Arial" w:cs="Arial"/>
          <w:b/>
          <w:sz w:val="22"/>
        </w:rPr>
        <w:t>7</w:t>
      </w:r>
      <w:r w:rsidRPr="00401FCD">
        <w:rPr>
          <w:rFonts w:ascii="Arial" w:hAnsi="Arial" w:cs="Arial"/>
          <w:b/>
          <w:sz w:val="22"/>
        </w:rPr>
        <w:t>: Estimated 5</w:t>
      </w:r>
      <w:r w:rsidRPr="00401FCD">
        <w:rPr>
          <w:rFonts w:ascii="Arial" w:hAnsi="Arial" w:cs="Arial"/>
          <w:b/>
          <w:sz w:val="22"/>
          <w:vertAlign w:val="superscript"/>
        </w:rPr>
        <w:t>th</w:t>
      </w:r>
      <w:r w:rsidRPr="00401FCD">
        <w:rPr>
          <w:rFonts w:ascii="Arial" w:hAnsi="Arial" w:cs="Arial"/>
          <w:b/>
          <w:sz w:val="22"/>
        </w:rPr>
        <w:t xml:space="preserve"> and 95</w:t>
      </w:r>
      <w:r w:rsidRPr="00401FCD">
        <w:rPr>
          <w:rFonts w:ascii="Arial" w:hAnsi="Arial" w:cs="Arial"/>
          <w:b/>
          <w:sz w:val="22"/>
          <w:vertAlign w:val="superscript"/>
        </w:rPr>
        <w:t>th</w:t>
      </w:r>
      <w:r w:rsidRPr="00401FCD">
        <w:rPr>
          <w:rFonts w:ascii="Arial" w:hAnsi="Arial" w:cs="Arial"/>
          <w:b/>
          <w:sz w:val="22"/>
        </w:rPr>
        <w:t xml:space="preserve"> percentile </w:t>
      </w:r>
      <w:r w:rsidR="00536FC5">
        <w:rPr>
          <w:rFonts w:ascii="Arial" w:hAnsi="Arial" w:cs="Arial"/>
          <w:b/>
          <w:sz w:val="22"/>
        </w:rPr>
        <w:t xml:space="preserve">usual </w:t>
      </w:r>
      <w:r w:rsidRPr="00401FCD">
        <w:rPr>
          <w:rFonts w:ascii="Arial" w:hAnsi="Arial" w:cs="Arial"/>
          <w:b/>
          <w:sz w:val="22"/>
        </w:rPr>
        <w:t xml:space="preserve">iodine intakes </w:t>
      </w:r>
      <w:r>
        <w:rPr>
          <w:rFonts w:ascii="Arial" w:hAnsi="Arial" w:cs="Arial"/>
          <w:b/>
          <w:sz w:val="22"/>
        </w:rPr>
        <w:t>for children by age group and gender</w:t>
      </w:r>
    </w:p>
    <w:tbl>
      <w:tblPr>
        <w:tblStyle w:val="LightShading"/>
        <w:tblW w:w="14990" w:type="dxa"/>
        <w:tblLayout w:type="fixed"/>
        <w:tblLook w:val="0620" w:firstRow="1" w:lastRow="0" w:firstColumn="0" w:lastColumn="0" w:noHBand="1" w:noVBand="1"/>
        <w:tblCaption w:val="Table A.7: Estimated 5th and 95th percentile usual iodine intakes for children by age group and gender"/>
      </w:tblPr>
      <w:tblGrid>
        <w:gridCol w:w="1662"/>
        <w:gridCol w:w="1300"/>
        <w:gridCol w:w="1300"/>
        <w:gridCol w:w="1356"/>
        <w:gridCol w:w="1300"/>
        <w:gridCol w:w="1300"/>
        <w:gridCol w:w="1356"/>
        <w:gridCol w:w="1412"/>
        <w:gridCol w:w="1310"/>
        <w:gridCol w:w="1386"/>
        <w:gridCol w:w="1308"/>
      </w:tblGrid>
      <w:tr w:rsidR="005F7270" w:rsidRPr="003B4FEF" w14:paraId="5D734C5D" w14:textId="77777777" w:rsidTr="00142822">
        <w:trPr>
          <w:cnfStyle w:val="100000000000" w:firstRow="1" w:lastRow="0" w:firstColumn="0" w:lastColumn="0" w:oddVBand="0" w:evenVBand="0" w:oddHBand="0" w:evenHBand="0" w:firstRowFirstColumn="0" w:firstRowLastColumn="0" w:lastRowFirstColumn="0" w:lastRowLastColumn="0"/>
          <w:trHeight w:val="17"/>
        </w:trPr>
        <w:tc>
          <w:tcPr>
            <w:tcW w:w="1662" w:type="dxa"/>
            <w:vMerge w:val="restart"/>
            <w:noWrap/>
            <w:hideMark/>
          </w:tcPr>
          <w:p w14:paraId="5D734C59" w14:textId="77777777" w:rsidR="005F7270" w:rsidRPr="003B4FEF" w:rsidRDefault="005F7270" w:rsidP="00CC5193">
            <w:pPr>
              <w:tabs>
                <w:tab w:val="clear" w:pos="567"/>
              </w:tabs>
              <w:rPr>
                <w:rFonts w:ascii="Arial" w:eastAsia="Times New Roman" w:hAnsi="Arial" w:cs="Arial"/>
                <w:b w:val="0"/>
                <w:bCs w:val="0"/>
                <w:color w:val="000000"/>
                <w:sz w:val="18"/>
                <w:szCs w:val="18"/>
                <w:lang w:eastAsia="en-GB"/>
              </w:rPr>
            </w:pPr>
          </w:p>
          <w:p w14:paraId="5D734C5A" w14:textId="77777777" w:rsidR="003B4FEF" w:rsidRDefault="003B4FEF" w:rsidP="00CC5193">
            <w:pPr>
              <w:tabs>
                <w:tab w:val="clear" w:pos="567"/>
              </w:tabs>
              <w:rPr>
                <w:rFonts w:ascii="Arial" w:eastAsia="Times New Roman" w:hAnsi="Arial" w:cs="Arial"/>
                <w:color w:val="000000"/>
                <w:sz w:val="18"/>
                <w:szCs w:val="18"/>
                <w:lang w:eastAsia="en-GB"/>
              </w:rPr>
            </w:pPr>
          </w:p>
          <w:p w14:paraId="5D734C5B" w14:textId="77777777" w:rsidR="005F7270" w:rsidRPr="003B4FEF" w:rsidRDefault="005F7270" w:rsidP="00CC5193">
            <w:pPr>
              <w:tabs>
                <w:tab w:val="clear" w:pos="567"/>
              </w:tabs>
              <w:rPr>
                <w:rFonts w:ascii="Arial" w:eastAsia="Times New Roman" w:hAnsi="Arial" w:cs="Arial"/>
                <w:b w:val="0"/>
                <w:color w:val="000000"/>
                <w:sz w:val="18"/>
                <w:szCs w:val="18"/>
                <w:lang w:eastAsia="en-GB"/>
              </w:rPr>
            </w:pPr>
            <w:r w:rsidRPr="003B4FEF">
              <w:rPr>
                <w:rFonts w:ascii="Arial" w:eastAsia="Times New Roman" w:hAnsi="Arial" w:cs="Arial"/>
                <w:b w:val="0"/>
                <w:color w:val="000000"/>
                <w:sz w:val="18"/>
                <w:szCs w:val="18"/>
                <w:lang w:eastAsia="en-GB"/>
              </w:rPr>
              <w:t>Age group (All Sexes)</w:t>
            </w:r>
          </w:p>
        </w:tc>
        <w:tc>
          <w:tcPr>
            <w:tcW w:w="13327" w:type="dxa"/>
            <w:gridSpan w:val="10"/>
            <w:noWrap/>
            <w:hideMark/>
          </w:tcPr>
          <w:p w14:paraId="5D734C5C" w14:textId="77777777" w:rsidR="005F7270" w:rsidRPr="003B4FEF" w:rsidRDefault="005F7270" w:rsidP="00D5288F">
            <w:pPr>
              <w:tabs>
                <w:tab w:val="clear" w:pos="567"/>
              </w:tabs>
              <w:jc w:val="center"/>
              <w:rPr>
                <w:rFonts w:ascii="Arial" w:eastAsia="Times New Roman" w:hAnsi="Arial" w:cs="Arial"/>
                <w:b w:val="0"/>
                <w:bCs w:val="0"/>
                <w:color w:val="000000"/>
                <w:sz w:val="18"/>
                <w:szCs w:val="18"/>
                <w:lang w:eastAsia="en-GB"/>
              </w:rPr>
            </w:pPr>
            <w:r w:rsidRPr="003B4FEF">
              <w:rPr>
                <w:rFonts w:ascii="Arial" w:eastAsia="Times New Roman" w:hAnsi="Arial" w:cs="Arial"/>
                <w:b w:val="0"/>
                <w:color w:val="000000"/>
                <w:sz w:val="18"/>
                <w:szCs w:val="18"/>
                <w:lang w:eastAsia="en-GB"/>
              </w:rPr>
              <w:t xml:space="preserve">Estimated 5th and 95th percentile </w:t>
            </w:r>
            <w:r w:rsidR="00D5288F">
              <w:rPr>
                <w:rFonts w:ascii="Arial" w:eastAsia="Times New Roman" w:hAnsi="Arial" w:cs="Arial"/>
                <w:b w:val="0"/>
                <w:color w:val="000000"/>
                <w:sz w:val="18"/>
                <w:szCs w:val="18"/>
                <w:lang w:eastAsia="en-GB"/>
              </w:rPr>
              <w:t xml:space="preserve">usual </w:t>
            </w:r>
            <w:r w:rsidRPr="003B4FEF">
              <w:rPr>
                <w:rFonts w:ascii="Arial" w:eastAsia="Times New Roman" w:hAnsi="Arial" w:cs="Arial"/>
                <w:b w:val="0"/>
                <w:color w:val="000000"/>
                <w:sz w:val="18"/>
                <w:szCs w:val="18"/>
                <w:lang w:eastAsia="en-GB"/>
              </w:rPr>
              <w:t xml:space="preserve">iodine intakes by age group - ANCNPAS salt behaviour A only               </w:t>
            </w:r>
          </w:p>
        </w:tc>
      </w:tr>
      <w:tr w:rsidR="005F7270" w:rsidRPr="003B4FEF" w14:paraId="5D734C61" w14:textId="77777777" w:rsidTr="00142822">
        <w:trPr>
          <w:trHeight w:val="17"/>
        </w:trPr>
        <w:tc>
          <w:tcPr>
            <w:tcW w:w="1662" w:type="dxa"/>
            <w:vMerge/>
            <w:noWrap/>
            <w:hideMark/>
          </w:tcPr>
          <w:p w14:paraId="5D734C5E" w14:textId="77777777" w:rsidR="005F7270" w:rsidRPr="003B4FEF" w:rsidRDefault="005F7270" w:rsidP="00CC5193">
            <w:pPr>
              <w:tabs>
                <w:tab w:val="clear" w:pos="567"/>
              </w:tabs>
              <w:rPr>
                <w:rFonts w:ascii="Arial" w:eastAsia="Times New Roman" w:hAnsi="Arial" w:cs="Arial"/>
                <w:color w:val="000000"/>
                <w:sz w:val="18"/>
                <w:szCs w:val="18"/>
                <w:lang w:eastAsia="en-GB"/>
              </w:rPr>
            </w:pPr>
          </w:p>
        </w:tc>
        <w:tc>
          <w:tcPr>
            <w:tcW w:w="6556" w:type="dxa"/>
            <w:gridSpan w:val="5"/>
            <w:noWrap/>
            <w:hideMark/>
          </w:tcPr>
          <w:p w14:paraId="5D734C5F"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5th percentile intake (µg/day)</w:t>
            </w:r>
          </w:p>
        </w:tc>
        <w:tc>
          <w:tcPr>
            <w:tcW w:w="6772" w:type="dxa"/>
            <w:gridSpan w:val="5"/>
            <w:noWrap/>
            <w:hideMark/>
          </w:tcPr>
          <w:p w14:paraId="5D734C60"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95th percentile intake (µg/day)</w:t>
            </w:r>
          </w:p>
        </w:tc>
      </w:tr>
      <w:tr w:rsidR="005F7270" w:rsidRPr="003B4FEF" w14:paraId="5D734C6D" w14:textId="77777777" w:rsidTr="00142822">
        <w:trPr>
          <w:trHeight w:val="17"/>
        </w:trPr>
        <w:tc>
          <w:tcPr>
            <w:tcW w:w="1662" w:type="dxa"/>
            <w:vMerge/>
            <w:noWrap/>
            <w:hideMark/>
          </w:tcPr>
          <w:p w14:paraId="5D734C62" w14:textId="77777777" w:rsidR="005F7270" w:rsidRPr="003B4FEF" w:rsidRDefault="005F7270" w:rsidP="00CC5193">
            <w:pPr>
              <w:tabs>
                <w:tab w:val="clear" w:pos="567"/>
              </w:tabs>
              <w:rPr>
                <w:rFonts w:ascii="Arial" w:eastAsia="Times New Roman" w:hAnsi="Arial" w:cs="Arial"/>
                <w:b/>
                <w:bCs/>
                <w:color w:val="000000"/>
                <w:sz w:val="18"/>
                <w:szCs w:val="18"/>
                <w:lang w:eastAsia="en-GB"/>
              </w:rPr>
            </w:pPr>
          </w:p>
        </w:tc>
        <w:tc>
          <w:tcPr>
            <w:tcW w:w="1300" w:type="dxa"/>
            <w:hideMark/>
          </w:tcPr>
          <w:p w14:paraId="5D734C63"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Pre-fortification (Baseline)</w:t>
            </w:r>
          </w:p>
        </w:tc>
        <w:tc>
          <w:tcPr>
            <w:tcW w:w="1300" w:type="dxa"/>
            <w:hideMark/>
          </w:tcPr>
          <w:p w14:paraId="5D734C64"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1) </w:t>
            </w:r>
          </w:p>
        </w:tc>
        <w:tc>
          <w:tcPr>
            <w:tcW w:w="1356" w:type="dxa"/>
            <w:hideMark/>
          </w:tcPr>
          <w:p w14:paraId="5D734C65"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2) </w:t>
            </w:r>
          </w:p>
        </w:tc>
        <w:tc>
          <w:tcPr>
            <w:tcW w:w="1300" w:type="dxa"/>
            <w:hideMark/>
          </w:tcPr>
          <w:p w14:paraId="5D734C66"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3) </w:t>
            </w:r>
          </w:p>
        </w:tc>
        <w:tc>
          <w:tcPr>
            <w:tcW w:w="1300" w:type="dxa"/>
            <w:hideMark/>
          </w:tcPr>
          <w:p w14:paraId="5D734C67"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Post-fortification (Scenario 4)</w:t>
            </w:r>
          </w:p>
        </w:tc>
        <w:tc>
          <w:tcPr>
            <w:tcW w:w="1356" w:type="dxa"/>
            <w:hideMark/>
          </w:tcPr>
          <w:p w14:paraId="5D734C68"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Pre-fortification (Baseline)</w:t>
            </w:r>
          </w:p>
        </w:tc>
        <w:tc>
          <w:tcPr>
            <w:tcW w:w="1412" w:type="dxa"/>
            <w:hideMark/>
          </w:tcPr>
          <w:p w14:paraId="5D734C69"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1) </w:t>
            </w:r>
          </w:p>
        </w:tc>
        <w:tc>
          <w:tcPr>
            <w:tcW w:w="1310" w:type="dxa"/>
            <w:hideMark/>
          </w:tcPr>
          <w:p w14:paraId="5D734C6A"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2) </w:t>
            </w:r>
          </w:p>
        </w:tc>
        <w:tc>
          <w:tcPr>
            <w:tcW w:w="1386" w:type="dxa"/>
            <w:hideMark/>
          </w:tcPr>
          <w:p w14:paraId="5D734C6B"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 xml:space="preserve">Post-fortification (Scenario 3) </w:t>
            </w:r>
          </w:p>
        </w:tc>
        <w:tc>
          <w:tcPr>
            <w:tcW w:w="1308" w:type="dxa"/>
            <w:hideMark/>
          </w:tcPr>
          <w:p w14:paraId="5D734C6C" w14:textId="77777777" w:rsidR="005F7270" w:rsidRPr="003B4FEF" w:rsidRDefault="005F7270" w:rsidP="00CC5193">
            <w:pPr>
              <w:tabs>
                <w:tab w:val="clear" w:pos="567"/>
              </w:tabs>
              <w:jc w:val="center"/>
              <w:rPr>
                <w:rFonts w:ascii="Arial" w:eastAsia="Times New Roman" w:hAnsi="Arial" w:cs="Arial"/>
                <w:b/>
                <w:bCs/>
                <w:color w:val="000000"/>
                <w:sz w:val="18"/>
                <w:szCs w:val="18"/>
                <w:lang w:eastAsia="en-GB"/>
              </w:rPr>
            </w:pPr>
            <w:r w:rsidRPr="003B4FEF">
              <w:rPr>
                <w:rFonts w:ascii="Arial" w:eastAsia="Times New Roman" w:hAnsi="Arial" w:cs="Arial"/>
                <w:b/>
                <w:bCs/>
                <w:color w:val="000000"/>
                <w:sz w:val="18"/>
                <w:szCs w:val="18"/>
                <w:lang w:eastAsia="en-GB"/>
              </w:rPr>
              <w:t>Post-fortification (Scenario 4)</w:t>
            </w:r>
          </w:p>
        </w:tc>
      </w:tr>
      <w:tr w:rsidR="005F7270" w:rsidRPr="003B4FEF" w14:paraId="5D734C79" w14:textId="77777777" w:rsidTr="00142822">
        <w:trPr>
          <w:trHeight w:val="17"/>
        </w:trPr>
        <w:tc>
          <w:tcPr>
            <w:tcW w:w="1662" w:type="dxa"/>
            <w:noWrap/>
            <w:hideMark/>
          </w:tcPr>
          <w:p w14:paraId="5D734C6E"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2-3 years </w:t>
            </w:r>
          </w:p>
        </w:tc>
        <w:tc>
          <w:tcPr>
            <w:tcW w:w="1300" w:type="dxa"/>
            <w:noWrap/>
            <w:hideMark/>
          </w:tcPr>
          <w:p w14:paraId="5D734C6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57</w:t>
            </w:r>
          </w:p>
        </w:tc>
        <w:tc>
          <w:tcPr>
            <w:tcW w:w="1300" w:type="dxa"/>
            <w:noWrap/>
            <w:hideMark/>
          </w:tcPr>
          <w:p w14:paraId="5D734C7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93</w:t>
            </w:r>
          </w:p>
        </w:tc>
        <w:tc>
          <w:tcPr>
            <w:tcW w:w="1356" w:type="dxa"/>
            <w:noWrap/>
            <w:hideMark/>
          </w:tcPr>
          <w:p w14:paraId="5D734C7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94</w:t>
            </w:r>
          </w:p>
        </w:tc>
        <w:tc>
          <w:tcPr>
            <w:tcW w:w="1300" w:type="dxa"/>
            <w:noWrap/>
            <w:hideMark/>
          </w:tcPr>
          <w:p w14:paraId="5D734C7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90</w:t>
            </w:r>
          </w:p>
        </w:tc>
        <w:tc>
          <w:tcPr>
            <w:tcW w:w="1300" w:type="dxa"/>
            <w:noWrap/>
            <w:hideMark/>
          </w:tcPr>
          <w:p w14:paraId="5D734C7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92</w:t>
            </w:r>
          </w:p>
        </w:tc>
        <w:tc>
          <w:tcPr>
            <w:tcW w:w="1356" w:type="dxa"/>
            <w:noWrap/>
            <w:hideMark/>
          </w:tcPr>
          <w:p w14:paraId="5D734C7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208</w:t>
            </w:r>
          </w:p>
        </w:tc>
        <w:tc>
          <w:tcPr>
            <w:tcW w:w="1412" w:type="dxa"/>
            <w:noWrap/>
            <w:hideMark/>
          </w:tcPr>
          <w:p w14:paraId="5D734C7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245</w:t>
            </w:r>
          </w:p>
        </w:tc>
        <w:tc>
          <w:tcPr>
            <w:tcW w:w="1310" w:type="dxa"/>
            <w:noWrap/>
            <w:hideMark/>
          </w:tcPr>
          <w:p w14:paraId="5D734C7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247</w:t>
            </w:r>
          </w:p>
        </w:tc>
        <w:tc>
          <w:tcPr>
            <w:tcW w:w="1386" w:type="dxa"/>
            <w:noWrap/>
            <w:hideMark/>
          </w:tcPr>
          <w:p w14:paraId="5D734C7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239</w:t>
            </w:r>
          </w:p>
        </w:tc>
        <w:tc>
          <w:tcPr>
            <w:tcW w:w="1308" w:type="dxa"/>
            <w:noWrap/>
            <w:hideMark/>
          </w:tcPr>
          <w:p w14:paraId="5D734C7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243</w:t>
            </w:r>
          </w:p>
        </w:tc>
      </w:tr>
      <w:tr w:rsidR="005F7270" w:rsidRPr="003B4FEF" w14:paraId="5D734C85" w14:textId="77777777" w:rsidTr="00142822">
        <w:trPr>
          <w:trHeight w:val="17"/>
        </w:trPr>
        <w:tc>
          <w:tcPr>
            <w:tcW w:w="1662" w:type="dxa"/>
            <w:noWrap/>
            <w:hideMark/>
          </w:tcPr>
          <w:p w14:paraId="5D734C7A"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4-8 years </w:t>
            </w:r>
          </w:p>
        </w:tc>
        <w:tc>
          <w:tcPr>
            <w:tcW w:w="1300" w:type="dxa"/>
            <w:noWrap/>
            <w:hideMark/>
          </w:tcPr>
          <w:p w14:paraId="5D734C7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57</w:t>
            </w:r>
          </w:p>
        </w:tc>
        <w:tc>
          <w:tcPr>
            <w:tcW w:w="1300" w:type="dxa"/>
            <w:noWrap/>
            <w:hideMark/>
          </w:tcPr>
          <w:p w14:paraId="5D734C7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102</w:t>
            </w:r>
          </w:p>
        </w:tc>
        <w:tc>
          <w:tcPr>
            <w:tcW w:w="1356" w:type="dxa"/>
            <w:noWrap/>
            <w:hideMark/>
          </w:tcPr>
          <w:p w14:paraId="5D734C7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104</w:t>
            </w:r>
          </w:p>
        </w:tc>
        <w:tc>
          <w:tcPr>
            <w:tcW w:w="1300" w:type="dxa"/>
            <w:noWrap/>
            <w:hideMark/>
          </w:tcPr>
          <w:p w14:paraId="5D734C7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97</w:t>
            </w:r>
          </w:p>
        </w:tc>
        <w:tc>
          <w:tcPr>
            <w:tcW w:w="1300" w:type="dxa"/>
            <w:noWrap/>
            <w:hideMark/>
          </w:tcPr>
          <w:p w14:paraId="5D734C7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101</w:t>
            </w:r>
          </w:p>
        </w:tc>
        <w:tc>
          <w:tcPr>
            <w:tcW w:w="1356" w:type="dxa"/>
            <w:noWrap/>
            <w:hideMark/>
          </w:tcPr>
          <w:p w14:paraId="5D734C8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194</w:t>
            </w:r>
          </w:p>
        </w:tc>
        <w:tc>
          <w:tcPr>
            <w:tcW w:w="1412" w:type="dxa"/>
            <w:noWrap/>
            <w:hideMark/>
          </w:tcPr>
          <w:p w14:paraId="5D734C8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251</w:t>
            </w:r>
          </w:p>
        </w:tc>
        <w:tc>
          <w:tcPr>
            <w:tcW w:w="1310" w:type="dxa"/>
            <w:noWrap/>
            <w:hideMark/>
          </w:tcPr>
          <w:p w14:paraId="5D734C8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252</w:t>
            </w:r>
          </w:p>
        </w:tc>
        <w:tc>
          <w:tcPr>
            <w:tcW w:w="1386" w:type="dxa"/>
            <w:noWrap/>
            <w:hideMark/>
          </w:tcPr>
          <w:p w14:paraId="5D734C8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246</w:t>
            </w:r>
          </w:p>
        </w:tc>
        <w:tc>
          <w:tcPr>
            <w:tcW w:w="1308" w:type="dxa"/>
            <w:noWrap/>
            <w:hideMark/>
          </w:tcPr>
          <w:p w14:paraId="5D734C8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250</w:t>
            </w:r>
          </w:p>
        </w:tc>
      </w:tr>
      <w:tr w:rsidR="005F7270" w:rsidRPr="003B4FEF" w14:paraId="5D734C91" w14:textId="77777777" w:rsidTr="00142822">
        <w:trPr>
          <w:trHeight w:val="17"/>
        </w:trPr>
        <w:tc>
          <w:tcPr>
            <w:tcW w:w="1662" w:type="dxa"/>
            <w:noWrap/>
            <w:hideMark/>
          </w:tcPr>
          <w:p w14:paraId="5D734C86"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9-13 years </w:t>
            </w:r>
          </w:p>
        </w:tc>
        <w:tc>
          <w:tcPr>
            <w:tcW w:w="1300" w:type="dxa"/>
            <w:noWrap/>
            <w:hideMark/>
          </w:tcPr>
          <w:p w14:paraId="5D734C8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68</w:t>
            </w:r>
          </w:p>
        </w:tc>
        <w:tc>
          <w:tcPr>
            <w:tcW w:w="1300" w:type="dxa"/>
            <w:noWrap/>
            <w:hideMark/>
          </w:tcPr>
          <w:p w14:paraId="5D734C8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116</w:t>
            </w:r>
          </w:p>
        </w:tc>
        <w:tc>
          <w:tcPr>
            <w:tcW w:w="1356" w:type="dxa"/>
            <w:noWrap/>
            <w:hideMark/>
          </w:tcPr>
          <w:p w14:paraId="5D734C8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117</w:t>
            </w:r>
          </w:p>
        </w:tc>
        <w:tc>
          <w:tcPr>
            <w:tcW w:w="1300" w:type="dxa"/>
            <w:noWrap/>
            <w:hideMark/>
          </w:tcPr>
          <w:p w14:paraId="5D734C8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112</w:t>
            </w:r>
          </w:p>
        </w:tc>
        <w:tc>
          <w:tcPr>
            <w:tcW w:w="1300" w:type="dxa"/>
            <w:noWrap/>
            <w:hideMark/>
          </w:tcPr>
          <w:p w14:paraId="5D734C8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115</w:t>
            </w:r>
          </w:p>
        </w:tc>
        <w:tc>
          <w:tcPr>
            <w:tcW w:w="1356" w:type="dxa"/>
            <w:noWrap/>
            <w:hideMark/>
          </w:tcPr>
          <w:p w14:paraId="5D734C8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234</w:t>
            </w:r>
          </w:p>
        </w:tc>
        <w:tc>
          <w:tcPr>
            <w:tcW w:w="1412" w:type="dxa"/>
            <w:noWrap/>
            <w:hideMark/>
          </w:tcPr>
          <w:p w14:paraId="5D734C8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295</w:t>
            </w:r>
          </w:p>
        </w:tc>
        <w:tc>
          <w:tcPr>
            <w:tcW w:w="1310" w:type="dxa"/>
            <w:noWrap/>
            <w:hideMark/>
          </w:tcPr>
          <w:p w14:paraId="5D734C8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297</w:t>
            </w:r>
          </w:p>
        </w:tc>
        <w:tc>
          <w:tcPr>
            <w:tcW w:w="1386" w:type="dxa"/>
            <w:noWrap/>
            <w:hideMark/>
          </w:tcPr>
          <w:p w14:paraId="5D734C8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289</w:t>
            </w:r>
          </w:p>
        </w:tc>
        <w:tc>
          <w:tcPr>
            <w:tcW w:w="1308" w:type="dxa"/>
            <w:noWrap/>
            <w:hideMark/>
          </w:tcPr>
          <w:p w14:paraId="5D734C9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294</w:t>
            </w:r>
          </w:p>
        </w:tc>
      </w:tr>
      <w:tr w:rsidR="005F7270" w:rsidRPr="003B4FEF" w14:paraId="5D734C9D" w14:textId="77777777" w:rsidTr="00142822">
        <w:trPr>
          <w:trHeight w:val="17"/>
        </w:trPr>
        <w:tc>
          <w:tcPr>
            <w:tcW w:w="1662" w:type="dxa"/>
            <w:noWrap/>
            <w:hideMark/>
          </w:tcPr>
          <w:p w14:paraId="5D734C92"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14-16 years </w:t>
            </w:r>
          </w:p>
        </w:tc>
        <w:tc>
          <w:tcPr>
            <w:tcW w:w="1300" w:type="dxa"/>
            <w:noWrap/>
            <w:hideMark/>
          </w:tcPr>
          <w:p w14:paraId="5D734C9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71</w:t>
            </w:r>
          </w:p>
        </w:tc>
        <w:tc>
          <w:tcPr>
            <w:tcW w:w="1300" w:type="dxa"/>
            <w:noWrap/>
            <w:hideMark/>
          </w:tcPr>
          <w:p w14:paraId="5D734C9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bookmarkStart w:id="55" w:name="_GoBack"/>
            <w:bookmarkEnd w:id="55"/>
            <w:r w:rsidRPr="003B4FEF">
              <w:rPr>
                <w:rFonts w:ascii="Arial" w:eastAsia="Times New Roman" w:hAnsi="Arial" w:cs="Arial"/>
                <w:color w:val="000000"/>
                <w:sz w:val="18"/>
                <w:szCs w:val="18"/>
                <w:lang w:eastAsia="en-GB"/>
              </w:rPr>
              <w:t>116</w:t>
            </w:r>
          </w:p>
        </w:tc>
        <w:tc>
          <w:tcPr>
            <w:tcW w:w="1356" w:type="dxa"/>
            <w:noWrap/>
            <w:hideMark/>
          </w:tcPr>
          <w:p w14:paraId="5D734C9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120</w:t>
            </w:r>
          </w:p>
        </w:tc>
        <w:tc>
          <w:tcPr>
            <w:tcW w:w="1300" w:type="dxa"/>
            <w:noWrap/>
            <w:hideMark/>
          </w:tcPr>
          <w:p w14:paraId="5D734C9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112</w:t>
            </w:r>
          </w:p>
        </w:tc>
        <w:tc>
          <w:tcPr>
            <w:tcW w:w="1300" w:type="dxa"/>
            <w:noWrap/>
            <w:hideMark/>
          </w:tcPr>
          <w:p w14:paraId="5D734C9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115</w:t>
            </w:r>
          </w:p>
        </w:tc>
        <w:tc>
          <w:tcPr>
            <w:tcW w:w="1356" w:type="dxa"/>
            <w:noWrap/>
            <w:hideMark/>
          </w:tcPr>
          <w:p w14:paraId="5D734C9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269</w:t>
            </w:r>
          </w:p>
        </w:tc>
        <w:tc>
          <w:tcPr>
            <w:tcW w:w="1412" w:type="dxa"/>
            <w:noWrap/>
            <w:hideMark/>
          </w:tcPr>
          <w:p w14:paraId="5D734C9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345</w:t>
            </w:r>
          </w:p>
        </w:tc>
        <w:tc>
          <w:tcPr>
            <w:tcW w:w="1310" w:type="dxa"/>
            <w:noWrap/>
            <w:hideMark/>
          </w:tcPr>
          <w:p w14:paraId="5D734C9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349</w:t>
            </w:r>
          </w:p>
        </w:tc>
        <w:tc>
          <w:tcPr>
            <w:tcW w:w="1386" w:type="dxa"/>
            <w:noWrap/>
            <w:hideMark/>
          </w:tcPr>
          <w:p w14:paraId="5D734C9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340</w:t>
            </w:r>
          </w:p>
        </w:tc>
        <w:tc>
          <w:tcPr>
            <w:tcW w:w="1308" w:type="dxa"/>
            <w:noWrap/>
            <w:hideMark/>
          </w:tcPr>
          <w:p w14:paraId="5D734C9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343</w:t>
            </w:r>
          </w:p>
        </w:tc>
      </w:tr>
      <w:tr w:rsidR="005F7270" w:rsidRPr="003B4FEF" w14:paraId="5D734CA9" w14:textId="77777777" w:rsidTr="00142822">
        <w:trPr>
          <w:trHeight w:val="17"/>
        </w:trPr>
        <w:tc>
          <w:tcPr>
            <w:tcW w:w="1662" w:type="dxa"/>
            <w:noWrap/>
            <w:hideMark/>
          </w:tcPr>
          <w:p w14:paraId="5D734C9E"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2-16 years </w:t>
            </w:r>
          </w:p>
        </w:tc>
        <w:tc>
          <w:tcPr>
            <w:tcW w:w="1300" w:type="dxa"/>
            <w:noWrap/>
            <w:hideMark/>
          </w:tcPr>
          <w:p w14:paraId="5D734C9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63</w:t>
            </w:r>
          </w:p>
        </w:tc>
        <w:tc>
          <w:tcPr>
            <w:tcW w:w="1300" w:type="dxa"/>
            <w:noWrap/>
            <w:hideMark/>
          </w:tcPr>
          <w:p w14:paraId="5D734CA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107</w:t>
            </w:r>
          </w:p>
        </w:tc>
        <w:tc>
          <w:tcPr>
            <w:tcW w:w="1356" w:type="dxa"/>
            <w:noWrap/>
            <w:hideMark/>
          </w:tcPr>
          <w:p w14:paraId="5D734CA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109</w:t>
            </w:r>
          </w:p>
        </w:tc>
        <w:tc>
          <w:tcPr>
            <w:tcW w:w="1300" w:type="dxa"/>
            <w:noWrap/>
            <w:hideMark/>
          </w:tcPr>
          <w:p w14:paraId="5D734CA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104</w:t>
            </w:r>
          </w:p>
        </w:tc>
        <w:tc>
          <w:tcPr>
            <w:tcW w:w="1300" w:type="dxa"/>
            <w:noWrap/>
            <w:hideMark/>
          </w:tcPr>
          <w:p w14:paraId="5D734CA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106</w:t>
            </w:r>
          </w:p>
        </w:tc>
        <w:tc>
          <w:tcPr>
            <w:tcW w:w="1356" w:type="dxa"/>
            <w:noWrap/>
            <w:hideMark/>
          </w:tcPr>
          <w:p w14:paraId="5D734CA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228</w:t>
            </w:r>
          </w:p>
        </w:tc>
        <w:tc>
          <w:tcPr>
            <w:tcW w:w="1412" w:type="dxa"/>
            <w:noWrap/>
            <w:hideMark/>
          </w:tcPr>
          <w:p w14:paraId="5D734CA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293</w:t>
            </w:r>
          </w:p>
        </w:tc>
        <w:tc>
          <w:tcPr>
            <w:tcW w:w="1310" w:type="dxa"/>
            <w:noWrap/>
            <w:hideMark/>
          </w:tcPr>
          <w:p w14:paraId="5D734CA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296</w:t>
            </w:r>
          </w:p>
        </w:tc>
        <w:tc>
          <w:tcPr>
            <w:tcW w:w="1386" w:type="dxa"/>
            <w:noWrap/>
            <w:hideMark/>
          </w:tcPr>
          <w:p w14:paraId="5D734CA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286</w:t>
            </w:r>
          </w:p>
        </w:tc>
        <w:tc>
          <w:tcPr>
            <w:tcW w:w="1308" w:type="dxa"/>
            <w:noWrap/>
            <w:hideMark/>
          </w:tcPr>
          <w:p w14:paraId="5D734CA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291</w:t>
            </w:r>
          </w:p>
        </w:tc>
      </w:tr>
      <w:tr w:rsidR="005F7270" w:rsidRPr="003B4FEF" w14:paraId="5D734CAB" w14:textId="77777777" w:rsidTr="00142822">
        <w:trPr>
          <w:trHeight w:val="17"/>
        </w:trPr>
        <w:tc>
          <w:tcPr>
            <w:tcW w:w="14990" w:type="dxa"/>
            <w:gridSpan w:val="11"/>
            <w:noWrap/>
            <w:hideMark/>
          </w:tcPr>
          <w:p w14:paraId="5D734CAA" w14:textId="77777777" w:rsidR="005F7270" w:rsidRPr="003B4FEF" w:rsidRDefault="005F7270" w:rsidP="00CC5193">
            <w:pPr>
              <w:tabs>
                <w:tab w:val="clear" w:pos="567"/>
              </w:tabs>
              <w:rPr>
                <w:rFonts w:ascii="Arial" w:eastAsia="Times New Roman" w:hAnsi="Arial" w:cs="Arial"/>
                <w:b/>
                <w:color w:val="000000"/>
                <w:sz w:val="18"/>
                <w:szCs w:val="18"/>
                <w:lang w:eastAsia="en-GB"/>
              </w:rPr>
            </w:pPr>
            <w:r w:rsidRPr="003B4FEF">
              <w:rPr>
                <w:rFonts w:ascii="Arial" w:eastAsia="Times New Roman" w:hAnsi="Arial" w:cs="Arial"/>
                <w:b/>
                <w:bCs/>
                <w:color w:val="000000"/>
                <w:sz w:val="18"/>
                <w:szCs w:val="18"/>
                <w:lang w:eastAsia="en-GB"/>
              </w:rPr>
              <w:t>Age group (All Boys)</w:t>
            </w:r>
          </w:p>
        </w:tc>
      </w:tr>
      <w:tr w:rsidR="005F7270" w:rsidRPr="003B4FEF" w14:paraId="5D734CB7" w14:textId="77777777" w:rsidTr="00142822">
        <w:trPr>
          <w:trHeight w:val="17"/>
        </w:trPr>
        <w:tc>
          <w:tcPr>
            <w:tcW w:w="1662" w:type="dxa"/>
            <w:noWrap/>
            <w:hideMark/>
          </w:tcPr>
          <w:p w14:paraId="5D734CAC"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2-3 years </w:t>
            </w:r>
          </w:p>
        </w:tc>
        <w:tc>
          <w:tcPr>
            <w:tcW w:w="1300" w:type="dxa"/>
            <w:noWrap/>
            <w:hideMark/>
          </w:tcPr>
          <w:p w14:paraId="5D734CA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60</w:t>
            </w:r>
          </w:p>
        </w:tc>
        <w:tc>
          <w:tcPr>
            <w:tcW w:w="1300" w:type="dxa"/>
            <w:noWrap/>
            <w:hideMark/>
          </w:tcPr>
          <w:p w14:paraId="5D734CA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100</w:t>
            </w:r>
          </w:p>
        </w:tc>
        <w:tc>
          <w:tcPr>
            <w:tcW w:w="1356" w:type="dxa"/>
            <w:noWrap/>
            <w:hideMark/>
          </w:tcPr>
          <w:p w14:paraId="5D734CA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101</w:t>
            </w:r>
          </w:p>
        </w:tc>
        <w:tc>
          <w:tcPr>
            <w:tcW w:w="1300" w:type="dxa"/>
            <w:noWrap/>
            <w:hideMark/>
          </w:tcPr>
          <w:p w14:paraId="5D734CB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97</w:t>
            </w:r>
          </w:p>
        </w:tc>
        <w:tc>
          <w:tcPr>
            <w:tcW w:w="1300" w:type="dxa"/>
            <w:noWrap/>
            <w:hideMark/>
          </w:tcPr>
          <w:p w14:paraId="5D734CB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100</w:t>
            </w:r>
          </w:p>
        </w:tc>
        <w:tc>
          <w:tcPr>
            <w:tcW w:w="1356" w:type="dxa"/>
            <w:noWrap/>
            <w:hideMark/>
          </w:tcPr>
          <w:p w14:paraId="5D734CB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204</w:t>
            </w:r>
          </w:p>
        </w:tc>
        <w:tc>
          <w:tcPr>
            <w:tcW w:w="1412" w:type="dxa"/>
            <w:noWrap/>
            <w:hideMark/>
          </w:tcPr>
          <w:p w14:paraId="5D734CB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247</w:t>
            </w:r>
          </w:p>
        </w:tc>
        <w:tc>
          <w:tcPr>
            <w:tcW w:w="1310" w:type="dxa"/>
            <w:noWrap/>
            <w:hideMark/>
          </w:tcPr>
          <w:p w14:paraId="5D734CB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248</w:t>
            </w:r>
          </w:p>
        </w:tc>
        <w:tc>
          <w:tcPr>
            <w:tcW w:w="1386" w:type="dxa"/>
            <w:noWrap/>
            <w:hideMark/>
          </w:tcPr>
          <w:p w14:paraId="5D734CB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240</w:t>
            </w:r>
          </w:p>
        </w:tc>
        <w:tc>
          <w:tcPr>
            <w:tcW w:w="1308" w:type="dxa"/>
            <w:noWrap/>
            <w:hideMark/>
          </w:tcPr>
          <w:p w14:paraId="5D734CB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244</w:t>
            </w:r>
          </w:p>
        </w:tc>
      </w:tr>
      <w:tr w:rsidR="005F7270" w:rsidRPr="003B4FEF" w14:paraId="5D734CC3" w14:textId="77777777" w:rsidTr="00142822">
        <w:trPr>
          <w:trHeight w:val="17"/>
        </w:trPr>
        <w:tc>
          <w:tcPr>
            <w:tcW w:w="1662" w:type="dxa"/>
            <w:noWrap/>
            <w:hideMark/>
          </w:tcPr>
          <w:p w14:paraId="5D734CB8"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4-8 years </w:t>
            </w:r>
          </w:p>
        </w:tc>
        <w:tc>
          <w:tcPr>
            <w:tcW w:w="1300" w:type="dxa"/>
            <w:noWrap/>
            <w:hideMark/>
          </w:tcPr>
          <w:p w14:paraId="5D734CB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62</w:t>
            </w:r>
          </w:p>
        </w:tc>
        <w:tc>
          <w:tcPr>
            <w:tcW w:w="1300" w:type="dxa"/>
            <w:noWrap/>
            <w:hideMark/>
          </w:tcPr>
          <w:p w14:paraId="5D734CB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112</w:t>
            </w:r>
          </w:p>
        </w:tc>
        <w:tc>
          <w:tcPr>
            <w:tcW w:w="1356" w:type="dxa"/>
            <w:noWrap/>
            <w:hideMark/>
          </w:tcPr>
          <w:p w14:paraId="5D734CB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115</w:t>
            </w:r>
          </w:p>
        </w:tc>
        <w:tc>
          <w:tcPr>
            <w:tcW w:w="1300" w:type="dxa"/>
            <w:noWrap/>
            <w:hideMark/>
          </w:tcPr>
          <w:p w14:paraId="5D734CB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109</w:t>
            </w:r>
          </w:p>
        </w:tc>
        <w:tc>
          <w:tcPr>
            <w:tcW w:w="1300" w:type="dxa"/>
            <w:noWrap/>
            <w:hideMark/>
          </w:tcPr>
          <w:p w14:paraId="5D734CB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112</w:t>
            </w:r>
          </w:p>
        </w:tc>
        <w:tc>
          <w:tcPr>
            <w:tcW w:w="1356" w:type="dxa"/>
            <w:noWrap/>
            <w:hideMark/>
          </w:tcPr>
          <w:p w14:paraId="5D734CB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204</w:t>
            </w:r>
          </w:p>
        </w:tc>
        <w:tc>
          <w:tcPr>
            <w:tcW w:w="1412" w:type="dxa"/>
            <w:noWrap/>
            <w:hideMark/>
          </w:tcPr>
          <w:p w14:paraId="5D734CB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256</w:t>
            </w:r>
          </w:p>
        </w:tc>
        <w:tc>
          <w:tcPr>
            <w:tcW w:w="1310" w:type="dxa"/>
            <w:noWrap/>
            <w:hideMark/>
          </w:tcPr>
          <w:p w14:paraId="5D734CC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259</w:t>
            </w:r>
          </w:p>
        </w:tc>
        <w:tc>
          <w:tcPr>
            <w:tcW w:w="1386" w:type="dxa"/>
            <w:noWrap/>
            <w:hideMark/>
          </w:tcPr>
          <w:p w14:paraId="5D734CC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251</w:t>
            </w:r>
          </w:p>
        </w:tc>
        <w:tc>
          <w:tcPr>
            <w:tcW w:w="1308" w:type="dxa"/>
            <w:noWrap/>
            <w:hideMark/>
          </w:tcPr>
          <w:p w14:paraId="5D734CC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255</w:t>
            </w:r>
          </w:p>
        </w:tc>
      </w:tr>
      <w:tr w:rsidR="005F7270" w:rsidRPr="003B4FEF" w14:paraId="5D734CCF" w14:textId="77777777" w:rsidTr="00142822">
        <w:trPr>
          <w:trHeight w:val="17"/>
        </w:trPr>
        <w:tc>
          <w:tcPr>
            <w:tcW w:w="1662" w:type="dxa"/>
            <w:noWrap/>
            <w:hideMark/>
          </w:tcPr>
          <w:p w14:paraId="5D734CC4"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9-13 years </w:t>
            </w:r>
          </w:p>
        </w:tc>
        <w:tc>
          <w:tcPr>
            <w:tcW w:w="1300" w:type="dxa"/>
            <w:noWrap/>
            <w:hideMark/>
          </w:tcPr>
          <w:p w14:paraId="5D734CC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75</w:t>
            </w:r>
          </w:p>
        </w:tc>
        <w:tc>
          <w:tcPr>
            <w:tcW w:w="1300" w:type="dxa"/>
            <w:noWrap/>
            <w:hideMark/>
          </w:tcPr>
          <w:p w14:paraId="5D734CC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126</w:t>
            </w:r>
          </w:p>
        </w:tc>
        <w:tc>
          <w:tcPr>
            <w:tcW w:w="1356" w:type="dxa"/>
            <w:noWrap/>
            <w:hideMark/>
          </w:tcPr>
          <w:p w14:paraId="5D734CC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129</w:t>
            </w:r>
          </w:p>
        </w:tc>
        <w:tc>
          <w:tcPr>
            <w:tcW w:w="1300" w:type="dxa"/>
            <w:noWrap/>
            <w:hideMark/>
          </w:tcPr>
          <w:p w14:paraId="5D734CC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124</w:t>
            </w:r>
          </w:p>
        </w:tc>
        <w:tc>
          <w:tcPr>
            <w:tcW w:w="1300" w:type="dxa"/>
            <w:noWrap/>
            <w:hideMark/>
          </w:tcPr>
          <w:p w14:paraId="5D734CC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125</w:t>
            </w:r>
          </w:p>
        </w:tc>
        <w:tc>
          <w:tcPr>
            <w:tcW w:w="1356" w:type="dxa"/>
            <w:noWrap/>
            <w:hideMark/>
          </w:tcPr>
          <w:p w14:paraId="5D734CC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250</w:t>
            </w:r>
          </w:p>
        </w:tc>
        <w:tc>
          <w:tcPr>
            <w:tcW w:w="1412" w:type="dxa"/>
            <w:noWrap/>
            <w:hideMark/>
          </w:tcPr>
          <w:p w14:paraId="5D734CC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317</w:t>
            </w:r>
          </w:p>
        </w:tc>
        <w:tc>
          <w:tcPr>
            <w:tcW w:w="1310" w:type="dxa"/>
            <w:noWrap/>
            <w:hideMark/>
          </w:tcPr>
          <w:p w14:paraId="5D734CC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319</w:t>
            </w:r>
          </w:p>
        </w:tc>
        <w:tc>
          <w:tcPr>
            <w:tcW w:w="1386" w:type="dxa"/>
            <w:noWrap/>
            <w:hideMark/>
          </w:tcPr>
          <w:p w14:paraId="5D734CC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308</w:t>
            </w:r>
          </w:p>
        </w:tc>
        <w:tc>
          <w:tcPr>
            <w:tcW w:w="1308" w:type="dxa"/>
            <w:noWrap/>
            <w:hideMark/>
          </w:tcPr>
          <w:p w14:paraId="5D734CC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316</w:t>
            </w:r>
          </w:p>
        </w:tc>
      </w:tr>
      <w:tr w:rsidR="005F7270" w:rsidRPr="003B4FEF" w14:paraId="5D734CDB" w14:textId="77777777" w:rsidTr="00142822">
        <w:trPr>
          <w:trHeight w:val="17"/>
        </w:trPr>
        <w:tc>
          <w:tcPr>
            <w:tcW w:w="1662" w:type="dxa"/>
            <w:noWrap/>
            <w:hideMark/>
          </w:tcPr>
          <w:p w14:paraId="5D734CD0"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14-16 years </w:t>
            </w:r>
          </w:p>
        </w:tc>
        <w:tc>
          <w:tcPr>
            <w:tcW w:w="1300" w:type="dxa"/>
            <w:noWrap/>
            <w:hideMark/>
          </w:tcPr>
          <w:p w14:paraId="5D734CD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85</w:t>
            </w:r>
          </w:p>
        </w:tc>
        <w:tc>
          <w:tcPr>
            <w:tcW w:w="1300" w:type="dxa"/>
            <w:noWrap/>
            <w:hideMark/>
          </w:tcPr>
          <w:p w14:paraId="5D734CD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151</w:t>
            </w:r>
          </w:p>
        </w:tc>
        <w:tc>
          <w:tcPr>
            <w:tcW w:w="1356" w:type="dxa"/>
            <w:noWrap/>
            <w:hideMark/>
          </w:tcPr>
          <w:p w14:paraId="5D734CD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155</w:t>
            </w:r>
          </w:p>
        </w:tc>
        <w:tc>
          <w:tcPr>
            <w:tcW w:w="1300" w:type="dxa"/>
            <w:noWrap/>
            <w:hideMark/>
          </w:tcPr>
          <w:p w14:paraId="5D734CD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148</w:t>
            </w:r>
          </w:p>
        </w:tc>
        <w:tc>
          <w:tcPr>
            <w:tcW w:w="1300" w:type="dxa"/>
            <w:noWrap/>
            <w:hideMark/>
          </w:tcPr>
          <w:p w14:paraId="5D734CD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151</w:t>
            </w:r>
          </w:p>
        </w:tc>
        <w:tc>
          <w:tcPr>
            <w:tcW w:w="1356" w:type="dxa"/>
            <w:noWrap/>
            <w:hideMark/>
          </w:tcPr>
          <w:p w14:paraId="5D734CD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290</w:t>
            </w:r>
          </w:p>
        </w:tc>
        <w:tc>
          <w:tcPr>
            <w:tcW w:w="1412" w:type="dxa"/>
            <w:noWrap/>
            <w:hideMark/>
          </w:tcPr>
          <w:p w14:paraId="5D734CD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368</w:t>
            </w:r>
          </w:p>
        </w:tc>
        <w:tc>
          <w:tcPr>
            <w:tcW w:w="1310" w:type="dxa"/>
            <w:noWrap/>
            <w:hideMark/>
          </w:tcPr>
          <w:p w14:paraId="5D734CD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375</w:t>
            </w:r>
          </w:p>
        </w:tc>
        <w:tc>
          <w:tcPr>
            <w:tcW w:w="1386" w:type="dxa"/>
            <w:noWrap/>
            <w:hideMark/>
          </w:tcPr>
          <w:p w14:paraId="5D734CD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364</w:t>
            </w:r>
          </w:p>
        </w:tc>
        <w:tc>
          <w:tcPr>
            <w:tcW w:w="1308" w:type="dxa"/>
            <w:noWrap/>
            <w:hideMark/>
          </w:tcPr>
          <w:p w14:paraId="5D734CD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368</w:t>
            </w:r>
          </w:p>
        </w:tc>
      </w:tr>
      <w:tr w:rsidR="005F7270" w:rsidRPr="003B4FEF" w14:paraId="5D734CE7" w14:textId="77777777" w:rsidTr="00142822">
        <w:trPr>
          <w:trHeight w:val="17"/>
        </w:trPr>
        <w:tc>
          <w:tcPr>
            <w:tcW w:w="1662" w:type="dxa"/>
            <w:noWrap/>
            <w:hideMark/>
          </w:tcPr>
          <w:p w14:paraId="5D734CDC"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2-16 years </w:t>
            </w:r>
          </w:p>
        </w:tc>
        <w:tc>
          <w:tcPr>
            <w:tcW w:w="1300" w:type="dxa"/>
            <w:noWrap/>
            <w:hideMark/>
          </w:tcPr>
          <w:p w14:paraId="5D734CD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69</w:t>
            </w:r>
          </w:p>
        </w:tc>
        <w:tc>
          <w:tcPr>
            <w:tcW w:w="1300" w:type="dxa"/>
            <w:noWrap/>
            <w:hideMark/>
          </w:tcPr>
          <w:p w14:paraId="5D734CD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118</w:t>
            </w:r>
          </w:p>
        </w:tc>
        <w:tc>
          <w:tcPr>
            <w:tcW w:w="1356" w:type="dxa"/>
            <w:noWrap/>
            <w:hideMark/>
          </w:tcPr>
          <w:p w14:paraId="5D734CD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120</w:t>
            </w:r>
          </w:p>
        </w:tc>
        <w:tc>
          <w:tcPr>
            <w:tcW w:w="1300" w:type="dxa"/>
            <w:noWrap/>
            <w:hideMark/>
          </w:tcPr>
          <w:p w14:paraId="5D734CE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113</w:t>
            </w:r>
          </w:p>
        </w:tc>
        <w:tc>
          <w:tcPr>
            <w:tcW w:w="1300" w:type="dxa"/>
            <w:noWrap/>
            <w:hideMark/>
          </w:tcPr>
          <w:p w14:paraId="5D734CE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118</w:t>
            </w:r>
          </w:p>
        </w:tc>
        <w:tc>
          <w:tcPr>
            <w:tcW w:w="1356" w:type="dxa"/>
            <w:noWrap/>
            <w:hideMark/>
          </w:tcPr>
          <w:p w14:paraId="5D734CE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249</w:t>
            </w:r>
          </w:p>
        </w:tc>
        <w:tc>
          <w:tcPr>
            <w:tcW w:w="1412" w:type="dxa"/>
            <w:noWrap/>
            <w:hideMark/>
          </w:tcPr>
          <w:p w14:paraId="5D734CE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319</w:t>
            </w:r>
          </w:p>
        </w:tc>
        <w:tc>
          <w:tcPr>
            <w:tcW w:w="1310" w:type="dxa"/>
            <w:noWrap/>
            <w:hideMark/>
          </w:tcPr>
          <w:p w14:paraId="5D734CE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324</w:t>
            </w:r>
          </w:p>
        </w:tc>
        <w:tc>
          <w:tcPr>
            <w:tcW w:w="1386" w:type="dxa"/>
            <w:noWrap/>
            <w:hideMark/>
          </w:tcPr>
          <w:p w14:paraId="5D734CE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312</w:t>
            </w:r>
          </w:p>
        </w:tc>
        <w:tc>
          <w:tcPr>
            <w:tcW w:w="1308" w:type="dxa"/>
            <w:noWrap/>
            <w:hideMark/>
          </w:tcPr>
          <w:p w14:paraId="5D734CE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319</w:t>
            </w:r>
          </w:p>
        </w:tc>
      </w:tr>
      <w:tr w:rsidR="005F7270" w:rsidRPr="003B4FEF" w14:paraId="5D734CE9" w14:textId="77777777" w:rsidTr="00142822">
        <w:trPr>
          <w:trHeight w:val="17"/>
        </w:trPr>
        <w:tc>
          <w:tcPr>
            <w:tcW w:w="14990" w:type="dxa"/>
            <w:gridSpan w:val="11"/>
            <w:noWrap/>
            <w:hideMark/>
          </w:tcPr>
          <w:p w14:paraId="5D734CE8"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b/>
                <w:bCs/>
                <w:color w:val="000000"/>
                <w:sz w:val="18"/>
                <w:szCs w:val="18"/>
                <w:lang w:eastAsia="en-GB"/>
              </w:rPr>
              <w:t>Age group (All Girls)</w:t>
            </w:r>
          </w:p>
        </w:tc>
      </w:tr>
      <w:tr w:rsidR="005F7270" w:rsidRPr="003B4FEF" w14:paraId="5D734CF5" w14:textId="77777777" w:rsidTr="00142822">
        <w:trPr>
          <w:trHeight w:val="17"/>
        </w:trPr>
        <w:tc>
          <w:tcPr>
            <w:tcW w:w="1662" w:type="dxa"/>
            <w:noWrap/>
            <w:hideMark/>
          </w:tcPr>
          <w:p w14:paraId="5D734CEA"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2-3 years </w:t>
            </w:r>
          </w:p>
        </w:tc>
        <w:tc>
          <w:tcPr>
            <w:tcW w:w="1300" w:type="dxa"/>
            <w:noWrap/>
            <w:hideMark/>
          </w:tcPr>
          <w:p w14:paraId="5D734CE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55</w:t>
            </w:r>
          </w:p>
        </w:tc>
        <w:tc>
          <w:tcPr>
            <w:tcW w:w="1300" w:type="dxa"/>
            <w:noWrap/>
            <w:hideMark/>
          </w:tcPr>
          <w:p w14:paraId="5D734CE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89</w:t>
            </w:r>
          </w:p>
        </w:tc>
        <w:tc>
          <w:tcPr>
            <w:tcW w:w="1356" w:type="dxa"/>
            <w:noWrap/>
            <w:hideMark/>
          </w:tcPr>
          <w:p w14:paraId="5D734CE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90</w:t>
            </w:r>
          </w:p>
        </w:tc>
        <w:tc>
          <w:tcPr>
            <w:tcW w:w="1300" w:type="dxa"/>
            <w:noWrap/>
            <w:hideMark/>
          </w:tcPr>
          <w:p w14:paraId="5D734CE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86</w:t>
            </w:r>
          </w:p>
        </w:tc>
        <w:tc>
          <w:tcPr>
            <w:tcW w:w="1300" w:type="dxa"/>
            <w:noWrap/>
            <w:hideMark/>
          </w:tcPr>
          <w:p w14:paraId="5D734CE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89</w:t>
            </w:r>
          </w:p>
        </w:tc>
        <w:tc>
          <w:tcPr>
            <w:tcW w:w="1356" w:type="dxa"/>
            <w:noWrap/>
            <w:hideMark/>
          </w:tcPr>
          <w:p w14:paraId="5D734CF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216</w:t>
            </w:r>
          </w:p>
        </w:tc>
        <w:tc>
          <w:tcPr>
            <w:tcW w:w="1412" w:type="dxa"/>
            <w:noWrap/>
            <w:hideMark/>
          </w:tcPr>
          <w:p w14:paraId="5D734CF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243</w:t>
            </w:r>
          </w:p>
        </w:tc>
        <w:tc>
          <w:tcPr>
            <w:tcW w:w="1310" w:type="dxa"/>
            <w:noWrap/>
            <w:hideMark/>
          </w:tcPr>
          <w:p w14:paraId="5D734CF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244</w:t>
            </w:r>
          </w:p>
        </w:tc>
        <w:tc>
          <w:tcPr>
            <w:tcW w:w="1386" w:type="dxa"/>
            <w:noWrap/>
            <w:hideMark/>
          </w:tcPr>
          <w:p w14:paraId="5D734CF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237</w:t>
            </w:r>
          </w:p>
        </w:tc>
        <w:tc>
          <w:tcPr>
            <w:tcW w:w="1308" w:type="dxa"/>
            <w:noWrap/>
            <w:hideMark/>
          </w:tcPr>
          <w:p w14:paraId="5D734CF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242</w:t>
            </w:r>
          </w:p>
        </w:tc>
      </w:tr>
      <w:tr w:rsidR="005F7270" w:rsidRPr="003B4FEF" w14:paraId="5D734D01" w14:textId="77777777" w:rsidTr="00142822">
        <w:trPr>
          <w:trHeight w:val="17"/>
        </w:trPr>
        <w:tc>
          <w:tcPr>
            <w:tcW w:w="1662" w:type="dxa"/>
            <w:noWrap/>
            <w:hideMark/>
          </w:tcPr>
          <w:p w14:paraId="5D734CF6"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4-8 years </w:t>
            </w:r>
          </w:p>
        </w:tc>
        <w:tc>
          <w:tcPr>
            <w:tcW w:w="1300" w:type="dxa"/>
            <w:noWrap/>
            <w:hideMark/>
          </w:tcPr>
          <w:p w14:paraId="5D734CF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55</w:t>
            </w:r>
          </w:p>
        </w:tc>
        <w:tc>
          <w:tcPr>
            <w:tcW w:w="1300" w:type="dxa"/>
            <w:noWrap/>
            <w:hideMark/>
          </w:tcPr>
          <w:p w14:paraId="5D734CF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93</w:t>
            </w:r>
          </w:p>
        </w:tc>
        <w:tc>
          <w:tcPr>
            <w:tcW w:w="1356" w:type="dxa"/>
            <w:noWrap/>
            <w:hideMark/>
          </w:tcPr>
          <w:p w14:paraId="5D734CF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96</w:t>
            </w:r>
          </w:p>
        </w:tc>
        <w:tc>
          <w:tcPr>
            <w:tcW w:w="1300" w:type="dxa"/>
            <w:noWrap/>
            <w:hideMark/>
          </w:tcPr>
          <w:p w14:paraId="5D734CF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89</w:t>
            </w:r>
          </w:p>
        </w:tc>
        <w:tc>
          <w:tcPr>
            <w:tcW w:w="1300" w:type="dxa"/>
            <w:noWrap/>
            <w:hideMark/>
          </w:tcPr>
          <w:p w14:paraId="5D734CF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92</w:t>
            </w:r>
          </w:p>
        </w:tc>
        <w:tc>
          <w:tcPr>
            <w:tcW w:w="1356" w:type="dxa"/>
            <w:noWrap/>
            <w:hideMark/>
          </w:tcPr>
          <w:p w14:paraId="5D734CF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183</w:t>
            </w:r>
          </w:p>
        </w:tc>
        <w:tc>
          <w:tcPr>
            <w:tcW w:w="1412" w:type="dxa"/>
            <w:noWrap/>
            <w:hideMark/>
          </w:tcPr>
          <w:p w14:paraId="5D734CF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240</w:t>
            </w:r>
          </w:p>
        </w:tc>
        <w:tc>
          <w:tcPr>
            <w:tcW w:w="1310" w:type="dxa"/>
            <w:noWrap/>
            <w:hideMark/>
          </w:tcPr>
          <w:p w14:paraId="5D734CF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243</w:t>
            </w:r>
          </w:p>
        </w:tc>
        <w:tc>
          <w:tcPr>
            <w:tcW w:w="1386" w:type="dxa"/>
            <w:noWrap/>
            <w:hideMark/>
          </w:tcPr>
          <w:p w14:paraId="5D734CF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235</w:t>
            </w:r>
          </w:p>
        </w:tc>
        <w:tc>
          <w:tcPr>
            <w:tcW w:w="1308" w:type="dxa"/>
            <w:noWrap/>
            <w:hideMark/>
          </w:tcPr>
          <w:p w14:paraId="5D734D0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239</w:t>
            </w:r>
          </w:p>
        </w:tc>
      </w:tr>
      <w:tr w:rsidR="005F7270" w:rsidRPr="003B4FEF" w14:paraId="5D734D0D" w14:textId="77777777" w:rsidTr="00142822">
        <w:trPr>
          <w:trHeight w:val="17"/>
        </w:trPr>
        <w:tc>
          <w:tcPr>
            <w:tcW w:w="1662" w:type="dxa"/>
            <w:noWrap/>
            <w:hideMark/>
          </w:tcPr>
          <w:p w14:paraId="5D734D02"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lastRenderedPageBreak/>
              <w:t xml:space="preserve">9-13 years </w:t>
            </w:r>
          </w:p>
        </w:tc>
        <w:tc>
          <w:tcPr>
            <w:tcW w:w="1300" w:type="dxa"/>
            <w:noWrap/>
            <w:hideMark/>
          </w:tcPr>
          <w:p w14:paraId="5D734D0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62</w:t>
            </w:r>
          </w:p>
        </w:tc>
        <w:tc>
          <w:tcPr>
            <w:tcW w:w="1300" w:type="dxa"/>
            <w:noWrap/>
            <w:hideMark/>
          </w:tcPr>
          <w:p w14:paraId="5D734D0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106</w:t>
            </w:r>
          </w:p>
        </w:tc>
        <w:tc>
          <w:tcPr>
            <w:tcW w:w="1356" w:type="dxa"/>
            <w:noWrap/>
            <w:hideMark/>
          </w:tcPr>
          <w:p w14:paraId="5D734D0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110</w:t>
            </w:r>
          </w:p>
        </w:tc>
        <w:tc>
          <w:tcPr>
            <w:tcW w:w="1300" w:type="dxa"/>
            <w:noWrap/>
            <w:hideMark/>
          </w:tcPr>
          <w:p w14:paraId="5D734D0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106</w:t>
            </w:r>
          </w:p>
        </w:tc>
        <w:tc>
          <w:tcPr>
            <w:tcW w:w="1300" w:type="dxa"/>
            <w:noWrap/>
            <w:hideMark/>
          </w:tcPr>
          <w:p w14:paraId="5D734D0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107</w:t>
            </w:r>
          </w:p>
        </w:tc>
        <w:tc>
          <w:tcPr>
            <w:tcW w:w="1356" w:type="dxa"/>
            <w:noWrap/>
            <w:hideMark/>
          </w:tcPr>
          <w:p w14:paraId="5D734D0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200</w:t>
            </w:r>
          </w:p>
        </w:tc>
        <w:tc>
          <w:tcPr>
            <w:tcW w:w="1412" w:type="dxa"/>
            <w:noWrap/>
            <w:hideMark/>
          </w:tcPr>
          <w:p w14:paraId="5D734D09"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259</w:t>
            </w:r>
          </w:p>
        </w:tc>
        <w:tc>
          <w:tcPr>
            <w:tcW w:w="1310" w:type="dxa"/>
            <w:noWrap/>
            <w:hideMark/>
          </w:tcPr>
          <w:p w14:paraId="5D734D0A"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262</w:t>
            </w:r>
          </w:p>
        </w:tc>
        <w:tc>
          <w:tcPr>
            <w:tcW w:w="1386" w:type="dxa"/>
            <w:noWrap/>
            <w:hideMark/>
          </w:tcPr>
          <w:p w14:paraId="5D734D0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254</w:t>
            </w:r>
          </w:p>
        </w:tc>
        <w:tc>
          <w:tcPr>
            <w:tcW w:w="1308" w:type="dxa"/>
            <w:noWrap/>
            <w:hideMark/>
          </w:tcPr>
          <w:p w14:paraId="5D734D0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259</w:t>
            </w:r>
          </w:p>
        </w:tc>
      </w:tr>
      <w:tr w:rsidR="005F7270" w:rsidRPr="003B4FEF" w14:paraId="5D734D19" w14:textId="77777777" w:rsidTr="00142822">
        <w:trPr>
          <w:trHeight w:val="17"/>
        </w:trPr>
        <w:tc>
          <w:tcPr>
            <w:tcW w:w="1662" w:type="dxa"/>
            <w:noWrap/>
            <w:hideMark/>
          </w:tcPr>
          <w:p w14:paraId="5D734D0E"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14-16 years </w:t>
            </w:r>
          </w:p>
        </w:tc>
        <w:tc>
          <w:tcPr>
            <w:tcW w:w="1300" w:type="dxa"/>
            <w:noWrap/>
            <w:hideMark/>
          </w:tcPr>
          <w:p w14:paraId="5D734D0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62</w:t>
            </w:r>
          </w:p>
        </w:tc>
        <w:tc>
          <w:tcPr>
            <w:tcW w:w="1300" w:type="dxa"/>
            <w:noWrap/>
            <w:hideMark/>
          </w:tcPr>
          <w:p w14:paraId="5D734D1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106</w:t>
            </w:r>
          </w:p>
        </w:tc>
        <w:tc>
          <w:tcPr>
            <w:tcW w:w="1356" w:type="dxa"/>
            <w:noWrap/>
            <w:hideMark/>
          </w:tcPr>
          <w:p w14:paraId="5D734D1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108</w:t>
            </w:r>
          </w:p>
        </w:tc>
        <w:tc>
          <w:tcPr>
            <w:tcW w:w="1300" w:type="dxa"/>
            <w:noWrap/>
            <w:hideMark/>
          </w:tcPr>
          <w:p w14:paraId="5D734D1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105</w:t>
            </w:r>
          </w:p>
        </w:tc>
        <w:tc>
          <w:tcPr>
            <w:tcW w:w="1300" w:type="dxa"/>
            <w:noWrap/>
            <w:hideMark/>
          </w:tcPr>
          <w:p w14:paraId="5D734D1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106</w:t>
            </w:r>
          </w:p>
        </w:tc>
        <w:tc>
          <w:tcPr>
            <w:tcW w:w="1356" w:type="dxa"/>
            <w:noWrap/>
            <w:hideMark/>
          </w:tcPr>
          <w:p w14:paraId="5D734D1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208</w:t>
            </w:r>
          </w:p>
        </w:tc>
        <w:tc>
          <w:tcPr>
            <w:tcW w:w="1412" w:type="dxa"/>
            <w:noWrap/>
            <w:hideMark/>
          </w:tcPr>
          <w:p w14:paraId="5D734D15"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265</w:t>
            </w:r>
          </w:p>
        </w:tc>
        <w:tc>
          <w:tcPr>
            <w:tcW w:w="1310" w:type="dxa"/>
            <w:noWrap/>
            <w:hideMark/>
          </w:tcPr>
          <w:p w14:paraId="5D734D16"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270</w:t>
            </w:r>
          </w:p>
        </w:tc>
        <w:tc>
          <w:tcPr>
            <w:tcW w:w="1386" w:type="dxa"/>
            <w:noWrap/>
            <w:hideMark/>
          </w:tcPr>
          <w:p w14:paraId="5D734D17"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256</w:t>
            </w:r>
          </w:p>
        </w:tc>
        <w:tc>
          <w:tcPr>
            <w:tcW w:w="1308" w:type="dxa"/>
            <w:noWrap/>
            <w:hideMark/>
          </w:tcPr>
          <w:p w14:paraId="5D734D18"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263</w:t>
            </w:r>
          </w:p>
        </w:tc>
      </w:tr>
      <w:tr w:rsidR="005F7270" w:rsidRPr="003B4FEF" w14:paraId="5D734D25" w14:textId="77777777" w:rsidTr="00142822">
        <w:trPr>
          <w:trHeight w:val="17"/>
        </w:trPr>
        <w:tc>
          <w:tcPr>
            <w:tcW w:w="1662" w:type="dxa"/>
            <w:noWrap/>
            <w:hideMark/>
          </w:tcPr>
          <w:p w14:paraId="5D734D1A" w14:textId="77777777" w:rsidR="005F7270" w:rsidRPr="003B4FEF" w:rsidRDefault="005F7270" w:rsidP="00CC5193">
            <w:pPr>
              <w:tabs>
                <w:tab w:val="clear" w:pos="567"/>
              </w:tabs>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 xml:space="preserve">2-16 years </w:t>
            </w:r>
          </w:p>
        </w:tc>
        <w:tc>
          <w:tcPr>
            <w:tcW w:w="1300" w:type="dxa"/>
            <w:noWrap/>
            <w:hideMark/>
          </w:tcPr>
          <w:p w14:paraId="5D734D1B"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59</w:t>
            </w:r>
          </w:p>
        </w:tc>
        <w:tc>
          <w:tcPr>
            <w:tcW w:w="1300" w:type="dxa"/>
            <w:noWrap/>
            <w:hideMark/>
          </w:tcPr>
          <w:p w14:paraId="5D734D1C"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98</w:t>
            </w:r>
          </w:p>
        </w:tc>
        <w:tc>
          <w:tcPr>
            <w:tcW w:w="1356" w:type="dxa"/>
            <w:noWrap/>
            <w:hideMark/>
          </w:tcPr>
          <w:p w14:paraId="5D734D1D"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100</w:t>
            </w:r>
          </w:p>
        </w:tc>
        <w:tc>
          <w:tcPr>
            <w:tcW w:w="1300" w:type="dxa"/>
            <w:noWrap/>
            <w:hideMark/>
          </w:tcPr>
          <w:p w14:paraId="5D734D1E"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95</w:t>
            </w:r>
          </w:p>
        </w:tc>
        <w:tc>
          <w:tcPr>
            <w:tcW w:w="1300" w:type="dxa"/>
            <w:noWrap/>
            <w:hideMark/>
          </w:tcPr>
          <w:p w14:paraId="5D734D1F"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98</w:t>
            </w:r>
          </w:p>
        </w:tc>
        <w:tc>
          <w:tcPr>
            <w:tcW w:w="1356" w:type="dxa"/>
            <w:noWrap/>
            <w:hideMark/>
          </w:tcPr>
          <w:p w14:paraId="5D734D20"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198</w:t>
            </w:r>
          </w:p>
        </w:tc>
        <w:tc>
          <w:tcPr>
            <w:tcW w:w="1412" w:type="dxa"/>
            <w:noWrap/>
            <w:hideMark/>
          </w:tcPr>
          <w:p w14:paraId="5D734D21"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252</w:t>
            </w:r>
          </w:p>
        </w:tc>
        <w:tc>
          <w:tcPr>
            <w:tcW w:w="1310" w:type="dxa"/>
            <w:noWrap/>
            <w:hideMark/>
          </w:tcPr>
          <w:p w14:paraId="5D734D22"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255</w:t>
            </w:r>
          </w:p>
        </w:tc>
        <w:tc>
          <w:tcPr>
            <w:tcW w:w="1386" w:type="dxa"/>
            <w:noWrap/>
            <w:hideMark/>
          </w:tcPr>
          <w:p w14:paraId="5D734D23"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247</w:t>
            </w:r>
          </w:p>
        </w:tc>
        <w:tc>
          <w:tcPr>
            <w:tcW w:w="1308" w:type="dxa"/>
            <w:noWrap/>
            <w:hideMark/>
          </w:tcPr>
          <w:p w14:paraId="5D734D24" w14:textId="77777777" w:rsidR="005F7270" w:rsidRPr="003B4FEF" w:rsidRDefault="005F7270" w:rsidP="00CC5193">
            <w:pPr>
              <w:tabs>
                <w:tab w:val="clear" w:pos="567"/>
              </w:tabs>
              <w:jc w:val="right"/>
              <w:rPr>
                <w:rFonts w:ascii="Arial" w:eastAsia="Times New Roman" w:hAnsi="Arial" w:cs="Arial"/>
                <w:color w:val="000000"/>
                <w:sz w:val="18"/>
                <w:szCs w:val="18"/>
                <w:lang w:eastAsia="en-GB"/>
              </w:rPr>
            </w:pPr>
            <w:r w:rsidRPr="003B4FEF">
              <w:rPr>
                <w:rFonts w:ascii="Arial" w:eastAsia="Times New Roman" w:hAnsi="Arial" w:cs="Arial"/>
                <w:color w:val="000000"/>
                <w:sz w:val="18"/>
                <w:szCs w:val="18"/>
                <w:lang w:eastAsia="en-GB"/>
              </w:rPr>
              <w:t>251</w:t>
            </w:r>
          </w:p>
        </w:tc>
      </w:tr>
    </w:tbl>
    <w:p w14:paraId="5D734D26" w14:textId="77777777" w:rsidR="009843F6" w:rsidRDefault="009843F6" w:rsidP="00CC5193">
      <w:pPr>
        <w:rPr>
          <w:rFonts w:ascii="Arial" w:hAnsi="Arial" w:cs="Arial"/>
          <w:sz w:val="18"/>
          <w:szCs w:val="18"/>
        </w:rPr>
      </w:pPr>
      <w:r w:rsidRPr="009843F6">
        <w:rPr>
          <w:rFonts w:ascii="Arial" w:hAnsi="Arial" w:cs="Arial"/>
          <w:sz w:val="18"/>
          <w:szCs w:val="18"/>
        </w:rPr>
        <w:t xml:space="preserve">Note: Data for the three post-fortification bread surveys are identified </w:t>
      </w:r>
      <w:r w:rsidR="000556B1">
        <w:rPr>
          <w:rFonts w:ascii="Arial" w:hAnsi="Arial" w:cs="Arial"/>
          <w:sz w:val="18"/>
          <w:szCs w:val="18"/>
        </w:rPr>
        <w:t>the same as in Table A6</w:t>
      </w:r>
      <w:r>
        <w:rPr>
          <w:rFonts w:ascii="Arial" w:hAnsi="Arial" w:cs="Arial"/>
          <w:sz w:val="18"/>
          <w:szCs w:val="18"/>
        </w:rPr>
        <w:t>.</w:t>
      </w:r>
    </w:p>
    <w:p w14:paraId="5D734D27" w14:textId="77777777" w:rsidR="00A67F1C" w:rsidRDefault="00A67F1C" w:rsidP="00CC5193">
      <w:pPr>
        <w:rPr>
          <w:rFonts w:ascii="Arial" w:hAnsi="Arial" w:cs="Arial"/>
          <w:sz w:val="18"/>
          <w:szCs w:val="18"/>
        </w:rPr>
      </w:pPr>
    </w:p>
    <w:p w14:paraId="5D734D28" w14:textId="77777777" w:rsidR="00EC7442" w:rsidRPr="00AD68BD" w:rsidRDefault="00EC7442" w:rsidP="00EC7442">
      <w:pPr>
        <w:rPr>
          <w:rFonts w:ascii="Arial" w:hAnsi="Arial" w:cs="Arial"/>
          <w:b/>
          <w:sz w:val="20"/>
          <w:szCs w:val="20"/>
        </w:rPr>
      </w:pPr>
      <w:r w:rsidRPr="00AD68BD">
        <w:rPr>
          <w:rFonts w:ascii="Arial" w:hAnsi="Arial" w:cs="Arial"/>
          <w:b/>
          <w:sz w:val="20"/>
          <w:szCs w:val="20"/>
        </w:rPr>
        <w:t>Table A.</w:t>
      </w:r>
      <w:r w:rsidR="00FB6BB6">
        <w:rPr>
          <w:rFonts w:ascii="Arial" w:hAnsi="Arial" w:cs="Arial"/>
          <w:b/>
          <w:sz w:val="20"/>
          <w:szCs w:val="20"/>
        </w:rPr>
        <w:t>8</w:t>
      </w:r>
      <w:r w:rsidRPr="00AD68BD">
        <w:rPr>
          <w:rFonts w:ascii="Arial" w:hAnsi="Arial" w:cs="Arial"/>
          <w:b/>
          <w:sz w:val="20"/>
          <w:szCs w:val="20"/>
        </w:rPr>
        <w:t xml:space="preserve">: </w:t>
      </w:r>
      <w:r>
        <w:rPr>
          <w:rFonts w:ascii="Arial" w:hAnsi="Arial" w:cs="Arial"/>
          <w:b/>
          <w:sz w:val="20"/>
          <w:szCs w:val="20"/>
        </w:rPr>
        <w:t>M</w:t>
      </w:r>
      <w:r w:rsidRPr="00AD68BD">
        <w:rPr>
          <w:rFonts w:ascii="Arial" w:hAnsi="Arial" w:cs="Arial"/>
          <w:b/>
          <w:sz w:val="20"/>
          <w:szCs w:val="20"/>
        </w:rPr>
        <w:t xml:space="preserve">ean </w:t>
      </w:r>
      <w:r>
        <w:rPr>
          <w:rFonts w:ascii="Arial" w:hAnsi="Arial" w:cs="Arial"/>
          <w:b/>
          <w:sz w:val="20"/>
          <w:szCs w:val="20"/>
        </w:rPr>
        <w:t>consumption for consumers only of regular breads and rolls (food code 122) from various nutrition surveys*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A.8: Mean consumption for consumers only of regular breads and rolls (food code 122) from various nutrition surveys*"/>
      </w:tblPr>
      <w:tblGrid>
        <w:gridCol w:w="1127"/>
        <w:gridCol w:w="1215"/>
        <w:gridCol w:w="2444"/>
        <w:gridCol w:w="1559"/>
        <w:gridCol w:w="1618"/>
        <w:gridCol w:w="1279"/>
      </w:tblGrid>
      <w:tr w:rsidR="00EC7442" w:rsidRPr="007312A6" w14:paraId="5D734D2D" w14:textId="77777777" w:rsidTr="006059FC">
        <w:trPr>
          <w:tblHeader/>
        </w:trPr>
        <w:tc>
          <w:tcPr>
            <w:tcW w:w="1127" w:type="dxa"/>
            <w:vMerge w:val="restart"/>
            <w:tcBorders>
              <w:top w:val="single" w:sz="4" w:space="0" w:color="auto"/>
              <w:bottom w:val="single" w:sz="4" w:space="0" w:color="auto"/>
            </w:tcBorders>
            <w:vAlign w:val="bottom"/>
          </w:tcPr>
          <w:p w14:paraId="5D734D29" w14:textId="77777777" w:rsidR="00EC7442" w:rsidRPr="007312A6" w:rsidRDefault="00EC7442" w:rsidP="00D61928">
            <w:pPr>
              <w:rPr>
                <w:rFonts w:ascii="Arial" w:hAnsi="Arial" w:cs="Arial"/>
                <w:b/>
                <w:sz w:val="20"/>
                <w:szCs w:val="20"/>
              </w:rPr>
            </w:pPr>
            <w:r w:rsidRPr="007312A6">
              <w:rPr>
                <w:rFonts w:ascii="Arial" w:hAnsi="Arial" w:cs="Arial"/>
                <w:b/>
                <w:sz w:val="20"/>
                <w:szCs w:val="20"/>
              </w:rPr>
              <w:t>Gender</w:t>
            </w:r>
          </w:p>
        </w:tc>
        <w:tc>
          <w:tcPr>
            <w:tcW w:w="1215" w:type="dxa"/>
            <w:vMerge w:val="restart"/>
            <w:tcBorders>
              <w:top w:val="single" w:sz="4" w:space="0" w:color="auto"/>
              <w:bottom w:val="single" w:sz="4" w:space="0" w:color="auto"/>
            </w:tcBorders>
            <w:vAlign w:val="bottom"/>
          </w:tcPr>
          <w:p w14:paraId="5D734D2A" w14:textId="77777777" w:rsidR="00EC7442" w:rsidRPr="007312A6" w:rsidRDefault="00EC7442" w:rsidP="00D61928">
            <w:pPr>
              <w:rPr>
                <w:rFonts w:ascii="Arial" w:hAnsi="Arial" w:cs="Arial"/>
                <w:b/>
                <w:sz w:val="20"/>
                <w:szCs w:val="20"/>
              </w:rPr>
            </w:pPr>
            <w:r w:rsidRPr="007312A6">
              <w:rPr>
                <w:rFonts w:ascii="Arial" w:hAnsi="Arial" w:cs="Arial"/>
                <w:b/>
                <w:sz w:val="20"/>
                <w:szCs w:val="20"/>
              </w:rPr>
              <w:t>Age Group</w:t>
            </w:r>
          </w:p>
        </w:tc>
        <w:tc>
          <w:tcPr>
            <w:tcW w:w="2444" w:type="dxa"/>
            <w:vMerge w:val="restart"/>
            <w:tcBorders>
              <w:top w:val="single" w:sz="4" w:space="0" w:color="auto"/>
              <w:bottom w:val="single" w:sz="4" w:space="0" w:color="auto"/>
            </w:tcBorders>
            <w:vAlign w:val="bottom"/>
          </w:tcPr>
          <w:p w14:paraId="5D734D2B" w14:textId="77777777" w:rsidR="00EC7442" w:rsidRPr="007312A6" w:rsidRDefault="00EC7442" w:rsidP="00D61928">
            <w:pPr>
              <w:rPr>
                <w:rFonts w:ascii="Arial" w:hAnsi="Arial" w:cs="Arial"/>
                <w:b/>
                <w:sz w:val="20"/>
                <w:szCs w:val="20"/>
              </w:rPr>
            </w:pPr>
            <w:r w:rsidRPr="007312A6">
              <w:rPr>
                <w:rFonts w:ascii="Arial" w:hAnsi="Arial" w:cs="Arial"/>
                <w:b/>
                <w:sz w:val="20"/>
                <w:szCs w:val="20"/>
              </w:rPr>
              <w:t>Measure</w:t>
            </w:r>
          </w:p>
        </w:tc>
        <w:tc>
          <w:tcPr>
            <w:tcW w:w="4456" w:type="dxa"/>
            <w:gridSpan w:val="3"/>
            <w:tcBorders>
              <w:top w:val="single" w:sz="4" w:space="0" w:color="auto"/>
            </w:tcBorders>
          </w:tcPr>
          <w:p w14:paraId="5D734D2C" w14:textId="77777777" w:rsidR="00EC7442" w:rsidRPr="007312A6" w:rsidRDefault="00EC7442" w:rsidP="00D61928">
            <w:pPr>
              <w:jc w:val="center"/>
              <w:rPr>
                <w:rFonts w:ascii="Arial" w:hAnsi="Arial" w:cs="Arial"/>
                <w:b/>
                <w:sz w:val="20"/>
                <w:szCs w:val="20"/>
              </w:rPr>
            </w:pPr>
            <w:r w:rsidRPr="007312A6">
              <w:rPr>
                <w:rFonts w:ascii="Arial" w:hAnsi="Arial" w:cs="Arial"/>
                <w:b/>
                <w:sz w:val="20"/>
                <w:szCs w:val="20"/>
              </w:rPr>
              <w:t>Nutrition Survey</w:t>
            </w:r>
            <w:r>
              <w:rPr>
                <w:rFonts w:ascii="Arial" w:hAnsi="Arial" w:cs="Arial"/>
                <w:b/>
                <w:sz w:val="20"/>
                <w:szCs w:val="20"/>
              </w:rPr>
              <w:t>**</w:t>
            </w:r>
          </w:p>
        </w:tc>
      </w:tr>
      <w:tr w:rsidR="00EC7442" w:rsidRPr="007312A6" w14:paraId="5D734D34" w14:textId="77777777" w:rsidTr="006059FC">
        <w:trPr>
          <w:tblHeader/>
        </w:trPr>
        <w:tc>
          <w:tcPr>
            <w:tcW w:w="1127" w:type="dxa"/>
            <w:vMerge/>
            <w:tcBorders>
              <w:top w:val="single" w:sz="4" w:space="0" w:color="auto"/>
              <w:bottom w:val="single" w:sz="4" w:space="0" w:color="auto"/>
            </w:tcBorders>
          </w:tcPr>
          <w:p w14:paraId="5D734D2E" w14:textId="77777777" w:rsidR="00EC7442" w:rsidRPr="00482E9C" w:rsidRDefault="00EC7442" w:rsidP="00D61928">
            <w:pPr>
              <w:rPr>
                <w:rFonts w:ascii="Arial" w:hAnsi="Arial" w:cs="Arial"/>
                <w:b/>
                <w:sz w:val="20"/>
                <w:szCs w:val="20"/>
              </w:rPr>
            </w:pPr>
          </w:p>
        </w:tc>
        <w:tc>
          <w:tcPr>
            <w:tcW w:w="1215" w:type="dxa"/>
            <w:vMerge/>
            <w:tcBorders>
              <w:bottom w:val="single" w:sz="4" w:space="0" w:color="auto"/>
            </w:tcBorders>
          </w:tcPr>
          <w:p w14:paraId="5D734D2F" w14:textId="77777777" w:rsidR="00EC7442" w:rsidRPr="00482E9C" w:rsidRDefault="00EC7442" w:rsidP="00D61928">
            <w:pPr>
              <w:rPr>
                <w:rFonts w:ascii="Arial" w:hAnsi="Arial" w:cs="Arial"/>
                <w:b/>
                <w:sz w:val="20"/>
                <w:szCs w:val="20"/>
              </w:rPr>
            </w:pPr>
          </w:p>
        </w:tc>
        <w:tc>
          <w:tcPr>
            <w:tcW w:w="2444" w:type="dxa"/>
            <w:vMerge/>
            <w:tcBorders>
              <w:bottom w:val="single" w:sz="4" w:space="0" w:color="auto"/>
            </w:tcBorders>
          </w:tcPr>
          <w:p w14:paraId="5D734D30" w14:textId="77777777" w:rsidR="00EC7442" w:rsidRPr="007312A6" w:rsidRDefault="00EC7442" w:rsidP="00D61928">
            <w:pPr>
              <w:rPr>
                <w:rFonts w:ascii="Arial" w:hAnsi="Arial" w:cs="Arial"/>
                <w:b/>
                <w:sz w:val="20"/>
                <w:szCs w:val="20"/>
              </w:rPr>
            </w:pPr>
          </w:p>
        </w:tc>
        <w:tc>
          <w:tcPr>
            <w:tcW w:w="1559" w:type="dxa"/>
            <w:tcBorders>
              <w:bottom w:val="single" w:sz="4" w:space="0" w:color="auto"/>
            </w:tcBorders>
            <w:vAlign w:val="bottom"/>
          </w:tcPr>
          <w:p w14:paraId="5D734D31" w14:textId="77777777" w:rsidR="00EC7442" w:rsidRPr="007312A6" w:rsidRDefault="00EC7442" w:rsidP="00D61928">
            <w:pPr>
              <w:jc w:val="center"/>
              <w:rPr>
                <w:rFonts w:ascii="Arial" w:hAnsi="Arial" w:cs="Arial"/>
                <w:b/>
                <w:sz w:val="20"/>
                <w:szCs w:val="20"/>
              </w:rPr>
            </w:pPr>
            <w:r w:rsidRPr="007312A6">
              <w:rPr>
                <w:rFonts w:ascii="Arial" w:hAnsi="Arial" w:cs="Arial"/>
                <w:b/>
                <w:sz w:val="20"/>
                <w:szCs w:val="20"/>
              </w:rPr>
              <w:t>2007 ANCNPAS</w:t>
            </w:r>
          </w:p>
        </w:tc>
        <w:tc>
          <w:tcPr>
            <w:tcW w:w="1618" w:type="dxa"/>
            <w:tcBorders>
              <w:bottom w:val="single" w:sz="4" w:space="0" w:color="auto"/>
            </w:tcBorders>
            <w:vAlign w:val="bottom"/>
          </w:tcPr>
          <w:p w14:paraId="5D734D32" w14:textId="77777777" w:rsidR="00EC7442" w:rsidRPr="007312A6" w:rsidRDefault="00EC7442" w:rsidP="00D61928">
            <w:pPr>
              <w:jc w:val="center"/>
              <w:rPr>
                <w:rFonts w:ascii="Arial" w:hAnsi="Arial" w:cs="Arial"/>
                <w:b/>
                <w:sz w:val="20"/>
                <w:szCs w:val="20"/>
              </w:rPr>
            </w:pPr>
            <w:r w:rsidRPr="007312A6">
              <w:rPr>
                <w:rFonts w:ascii="Arial" w:hAnsi="Arial" w:cs="Arial"/>
                <w:b/>
                <w:sz w:val="20"/>
                <w:szCs w:val="20"/>
              </w:rPr>
              <w:t>1995 NNS</w:t>
            </w:r>
          </w:p>
        </w:tc>
        <w:tc>
          <w:tcPr>
            <w:tcW w:w="1279" w:type="dxa"/>
            <w:tcBorders>
              <w:bottom w:val="single" w:sz="4" w:space="0" w:color="auto"/>
            </w:tcBorders>
            <w:vAlign w:val="bottom"/>
          </w:tcPr>
          <w:p w14:paraId="5D734D33" w14:textId="77777777" w:rsidR="00EC7442" w:rsidRPr="007312A6" w:rsidRDefault="00EC7442" w:rsidP="00D61928">
            <w:pPr>
              <w:jc w:val="center"/>
              <w:rPr>
                <w:rFonts w:ascii="Arial" w:hAnsi="Arial" w:cs="Arial"/>
                <w:b/>
                <w:sz w:val="20"/>
                <w:szCs w:val="20"/>
              </w:rPr>
            </w:pPr>
            <w:r w:rsidRPr="007312A6">
              <w:rPr>
                <w:rFonts w:ascii="Arial" w:hAnsi="Arial" w:cs="Arial"/>
                <w:b/>
                <w:sz w:val="20"/>
                <w:szCs w:val="20"/>
              </w:rPr>
              <w:t>2011-12 NNPAS</w:t>
            </w:r>
          </w:p>
        </w:tc>
      </w:tr>
      <w:tr w:rsidR="00EC7442" w:rsidRPr="007312A6" w14:paraId="5D734D3B" w14:textId="77777777" w:rsidTr="006059FC">
        <w:trPr>
          <w:tblHeader/>
        </w:trPr>
        <w:tc>
          <w:tcPr>
            <w:tcW w:w="1127" w:type="dxa"/>
            <w:vMerge w:val="restart"/>
            <w:tcBorders>
              <w:top w:val="single" w:sz="4" w:space="0" w:color="auto"/>
            </w:tcBorders>
          </w:tcPr>
          <w:p w14:paraId="5D734D35" w14:textId="77777777" w:rsidR="00EC7442" w:rsidRPr="007312A6" w:rsidRDefault="00EC7442" w:rsidP="00D61928">
            <w:pPr>
              <w:rPr>
                <w:rFonts w:ascii="Arial" w:hAnsi="Arial" w:cs="Arial"/>
                <w:sz w:val="20"/>
                <w:szCs w:val="20"/>
              </w:rPr>
            </w:pPr>
            <w:r w:rsidRPr="007312A6">
              <w:rPr>
                <w:rFonts w:ascii="Arial" w:hAnsi="Arial" w:cs="Arial"/>
                <w:sz w:val="20"/>
                <w:szCs w:val="20"/>
              </w:rPr>
              <w:t>All</w:t>
            </w:r>
          </w:p>
        </w:tc>
        <w:tc>
          <w:tcPr>
            <w:tcW w:w="1215" w:type="dxa"/>
            <w:vMerge w:val="restart"/>
            <w:tcBorders>
              <w:top w:val="single" w:sz="4" w:space="0" w:color="auto"/>
            </w:tcBorders>
          </w:tcPr>
          <w:p w14:paraId="5D734D36" w14:textId="77777777" w:rsidR="00EC7442" w:rsidRPr="007312A6" w:rsidRDefault="00EC7442" w:rsidP="00D61928">
            <w:pPr>
              <w:rPr>
                <w:rFonts w:ascii="Arial" w:hAnsi="Arial" w:cs="Arial"/>
                <w:sz w:val="20"/>
                <w:szCs w:val="20"/>
              </w:rPr>
            </w:pPr>
            <w:r w:rsidRPr="007312A6">
              <w:rPr>
                <w:rFonts w:ascii="Arial" w:hAnsi="Arial" w:cs="Arial"/>
                <w:sz w:val="20"/>
                <w:szCs w:val="20"/>
              </w:rPr>
              <w:t>2-16 years</w:t>
            </w:r>
          </w:p>
        </w:tc>
        <w:tc>
          <w:tcPr>
            <w:tcW w:w="2444" w:type="dxa"/>
            <w:tcBorders>
              <w:top w:val="single" w:sz="4" w:space="0" w:color="auto"/>
            </w:tcBorders>
          </w:tcPr>
          <w:p w14:paraId="5D734D37" w14:textId="77777777" w:rsidR="00EC7442" w:rsidRPr="007312A6" w:rsidRDefault="00EC7442" w:rsidP="00D61928">
            <w:pPr>
              <w:rPr>
                <w:rFonts w:ascii="Arial" w:hAnsi="Arial" w:cs="Arial"/>
                <w:sz w:val="20"/>
                <w:szCs w:val="20"/>
              </w:rPr>
            </w:pPr>
            <w:r w:rsidRPr="007312A6">
              <w:rPr>
                <w:rFonts w:ascii="Arial" w:hAnsi="Arial" w:cs="Arial"/>
                <w:sz w:val="20"/>
                <w:szCs w:val="20"/>
              </w:rPr>
              <w:t>% consumers</w:t>
            </w:r>
          </w:p>
        </w:tc>
        <w:tc>
          <w:tcPr>
            <w:tcW w:w="1559" w:type="dxa"/>
            <w:tcBorders>
              <w:top w:val="single" w:sz="4" w:space="0" w:color="auto"/>
            </w:tcBorders>
          </w:tcPr>
          <w:p w14:paraId="5D734D38" w14:textId="77777777" w:rsidR="00EC7442" w:rsidRPr="007312A6" w:rsidRDefault="00EC7442" w:rsidP="00D61928">
            <w:pPr>
              <w:jc w:val="right"/>
              <w:rPr>
                <w:rFonts w:ascii="Arial" w:hAnsi="Arial" w:cs="Arial"/>
                <w:sz w:val="20"/>
                <w:szCs w:val="20"/>
              </w:rPr>
            </w:pPr>
            <w:r>
              <w:rPr>
                <w:rFonts w:ascii="Arial" w:hAnsi="Arial" w:cs="Arial"/>
                <w:sz w:val="20"/>
                <w:szCs w:val="20"/>
              </w:rPr>
              <w:t>76.5</w:t>
            </w:r>
          </w:p>
        </w:tc>
        <w:tc>
          <w:tcPr>
            <w:tcW w:w="1618" w:type="dxa"/>
            <w:tcBorders>
              <w:top w:val="single" w:sz="4" w:space="0" w:color="auto"/>
            </w:tcBorders>
          </w:tcPr>
          <w:p w14:paraId="5D734D39"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279" w:type="dxa"/>
            <w:tcBorders>
              <w:top w:val="single" w:sz="4" w:space="0" w:color="auto"/>
            </w:tcBorders>
          </w:tcPr>
          <w:p w14:paraId="5D734D3A" w14:textId="77777777" w:rsidR="00EC7442" w:rsidRPr="007312A6" w:rsidRDefault="00EC7442" w:rsidP="00D61928">
            <w:pPr>
              <w:jc w:val="right"/>
              <w:rPr>
                <w:rFonts w:ascii="Arial" w:hAnsi="Arial" w:cs="Arial"/>
                <w:sz w:val="20"/>
                <w:szCs w:val="20"/>
              </w:rPr>
            </w:pPr>
            <w:r w:rsidRPr="007312A6">
              <w:rPr>
                <w:rFonts w:ascii="Arial" w:hAnsi="Arial" w:cs="Arial"/>
                <w:color w:val="000000"/>
                <w:sz w:val="20"/>
                <w:szCs w:val="20"/>
              </w:rPr>
              <w:t>72.5</w:t>
            </w:r>
          </w:p>
        </w:tc>
      </w:tr>
      <w:tr w:rsidR="00EC7442" w:rsidRPr="007312A6" w14:paraId="5D734D43" w14:textId="77777777" w:rsidTr="006059FC">
        <w:trPr>
          <w:tblHeader/>
        </w:trPr>
        <w:tc>
          <w:tcPr>
            <w:tcW w:w="1127" w:type="dxa"/>
            <w:vMerge/>
          </w:tcPr>
          <w:p w14:paraId="5D734D3C" w14:textId="77777777" w:rsidR="00EC7442" w:rsidRPr="007312A6" w:rsidRDefault="00EC7442" w:rsidP="00D61928">
            <w:pPr>
              <w:rPr>
                <w:rFonts w:ascii="Arial" w:hAnsi="Arial" w:cs="Arial"/>
                <w:sz w:val="20"/>
                <w:szCs w:val="20"/>
              </w:rPr>
            </w:pPr>
          </w:p>
        </w:tc>
        <w:tc>
          <w:tcPr>
            <w:tcW w:w="1215" w:type="dxa"/>
            <w:vMerge/>
          </w:tcPr>
          <w:p w14:paraId="5D734D3D" w14:textId="77777777" w:rsidR="00EC7442" w:rsidRPr="007312A6" w:rsidRDefault="00EC7442" w:rsidP="00D61928">
            <w:pPr>
              <w:rPr>
                <w:rFonts w:ascii="Arial" w:hAnsi="Arial" w:cs="Arial"/>
                <w:sz w:val="20"/>
                <w:szCs w:val="20"/>
              </w:rPr>
            </w:pPr>
          </w:p>
        </w:tc>
        <w:tc>
          <w:tcPr>
            <w:tcW w:w="2444" w:type="dxa"/>
          </w:tcPr>
          <w:p w14:paraId="5D734D3E" w14:textId="77777777" w:rsidR="00EC7442" w:rsidRPr="007312A6" w:rsidRDefault="00EC7442" w:rsidP="00D61928">
            <w:pPr>
              <w:rPr>
                <w:rFonts w:ascii="Arial" w:hAnsi="Arial" w:cs="Arial"/>
                <w:sz w:val="20"/>
                <w:szCs w:val="20"/>
              </w:rPr>
            </w:pPr>
            <w:r w:rsidRPr="007312A6">
              <w:rPr>
                <w:rFonts w:ascii="Arial" w:hAnsi="Arial" w:cs="Arial"/>
                <w:sz w:val="20"/>
                <w:szCs w:val="20"/>
              </w:rPr>
              <w:t>Mean consumption</w:t>
            </w:r>
            <w:r>
              <w:rPr>
                <w:rFonts w:ascii="Arial" w:hAnsi="Arial" w:cs="Arial"/>
                <w:sz w:val="20"/>
                <w:szCs w:val="20"/>
              </w:rPr>
              <w:t xml:space="preserve"> (g/day)</w:t>
            </w:r>
          </w:p>
        </w:tc>
        <w:tc>
          <w:tcPr>
            <w:tcW w:w="1559" w:type="dxa"/>
          </w:tcPr>
          <w:p w14:paraId="5D734D3F" w14:textId="77777777" w:rsidR="00EC7442" w:rsidRPr="007312A6" w:rsidRDefault="00EC7442" w:rsidP="00D61928">
            <w:pPr>
              <w:jc w:val="right"/>
              <w:rPr>
                <w:rFonts w:ascii="Arial" w:hAnsi="Arial" w:cs="Arial"/>
                <w:sz w:val="20"/>
                <w:szCs w:val="20"/>
              </w:rPr>
            </w:pPr>
            <w:r>
              <w:rPr>
                <w:rFonts w:ascii="Arial" w:hAnsi="Arial" w:cs="Arial"/>
                <w:sz w:val="20"/>
                <w:szCs w:val="20"/>
              </w:rPr>
              <w:t>89</w:t>
            </w:r>
          </w:p>
        </w:tc>
        <w:tc>
          <w:tcPr>
            <w:tcW w:w="1618" w:type="dxa"/>
          </w:tcPr>
          <w:p w14:paraId="5D734D40"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279" w:type="dxa"/>
          </w:tcPr>
          <w:p w14:paraId="5D734D41" w14:textId="77777777" w:rsidR="00EC7442" w:rsidRPr="007312A6" w:rsidRDefault="00EC7442" w:rsidP="00D61928">
            <w:pPr>
              <w:jc w:val="right"/>
              <w:rPr>
                <w:rFonts w:ascii="Arial" w:hAnsi="Arial" w:cs="Arial"/>
                <w:color w:val="000000"/>
                <w:sz w:val="20"/>
                <w:szCs w:val="20"/>
              </w:rPr>
            </w:pPr>
            <w:r w:rsidRPr="007312A6">
              <w:rPr>
                <w:rFonts w:ascii="Arial" w:hAnsi="Arial" w:cs="Arial"/>
                <w:color w:val="000000"/>
                <w:sz w:val="20"/>
                <w:szCs w:val="20"/>
              </w:rPr>
              <w:t>86</w:t>
            </w:r>
          </w:p>
          <w:p w14:paraId="5D734D42" w14:textId="77777777" w:rsidR="00EC7442" w:rsidRPr="007312A6" w:rsidRDefault="00EC7442" w:rsidP="00D61928">
            <w:pPr>
              <w:jc w:val="right"/>
              <w:rPr>
                <w:rFonts w:ascii="Arial" w:hAnsi="Arial" w:cs="Arial"/>
                <w:sz w:val="20"/>
                <w:szCs w:val="20"/>
              </w:rPr>
            </w:pPr>
          </w:p>
        </w:tc>
      </w:tr>
      <w:tr w:rsidR="00EC7442" w:rsidRPr="007312A6" w14:paraId="5D734D4A" w14:textId="77777777" w:rsidTr="006059FC">
        <w:trPr>
          <w:tblHeader/>
        </w:trPr>
        <w:tc>
          <w:tcPr>
            <w:tcW w:w="1127" w:type="dxa"/>
            <w:vMerge w:val="restart"/>
          </w:tcPr>
          <w:p w14:paraId="5D734D44" w14:textId="77777777" w:rsidR="00EC7442" w:rsidRPr="007312A6" w:rsidRDefault="00EC7442" w:rsidP="00D61928">
            <w:pPr>
              <w:rPr>
                <w:rFonts w:ascii="Arial" w:hAnsi="Arial" w:cs="Arial"/>
                <w:sz w:val="20"/>
                <w:szCs w:val="20"/>
              </w:rPr>
            </w:pPr>
            <w:r w:rsidRPr="007312A6">
              <w:rPr>
                <w:rFonts w:ascii="Arial" w:hAnsi="Arial" w:cs="Arial"/>
                <w:sz w:val="20"/>
                <w:szCs w:val="20"/>
              </w:rPr>
              <w:t>All</w:t>
            </w:r>
          </w:p>
        </w:tc>
        <w:tc>
          <w:tcPr>
            <w:tcW w:w="1215" w:type="dxa"/>
            <w:vMerge w:val="restart"/>
          </w:tcPr>
          <w:p w14:paraId="5D734D45" w14:textId="77777777" w:rsidR="00EC7442" w:rsidRPr="007312A6" w:rsidRDefault="00EC7442" w:rsidP="00D61928">
            <w:pPr>
              <w:rPr>
                <w:rFonts w:ascii="Arial" w:hAnsi="Arial" w:cs="Arial"/>
                <w:sz w:val="20"/>
                <w:szCs w:val="20"/>
              </w:rPr>
            </w:pPr>
            <w:r w:rsidRPr="007312A6">
              <w:rPr>
                <w:rFonts w:ascii="Arial" w:hAnsi="Arial" w:cs="Arial"/>
                <w:sz w:val="20"/>
                <w:szCs w:val="20"/>
              </w:rPr>
              <w:t>19 years and above</w:t>
            </w:r>
          </w:p>
        </w:tc>
        <w:tc>
          <w:tcPr>
            <w:tcW w:w="2444" w:type="dxa"/>
          </w:tcPr>
          <w:p w14:paraId="5D734D46" w14:textId="77777777" w:rsidR="00EC7442" w:rsidRPr="007312A6" w:rsidRDefault="00EC7442" w:rsidP="00D61928">
            <w:pPr>
              <w:rPr>
                <w:rFonts w:ascii="Arial" w:hAnsi="Arial" w:cs="Arial"/>
                <w:sz w:val="20"/>
                <w:szCs w:val="20"/>
              </w:rPr>
            </w:pPr>
            <w:r w:rsidRPr="007312A6">
              <w:rPr>
                <w:rFonts w:ascii="Arial" w:hAnsi="Arial" w:cs="Arial"/>
                <w:sz w:val="20"/>
                <w:szCs w:val="20"/>
              </w:rPr>
              <w:t>% consumers</w:t>
            </w:r>
          </w:p>
        </w:tc>
        <w:tc>
          <w:tcPr>
            <w:tcW w:w="1559" w:type="dxa"/>
          </w:tcPr>
          <w:p w14:paraId="5D734D47"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618" w:type="dxa"/>
          </w:tcPr>
          <w:p w14:paraId="5D734D48" w14:textId="77777777" w:rsidR="00EC7442" w:rsidRPr="007312A6" w:rsidRDefault="00EC7442" w:rsidP="00D61928">
            <w:pPr>
              <w:jc w:val="right"/>
              <w:rPr>
                <w:rFonts w:ascii="Arial" w:hAnsi="Arial" w:cs="Arial"/>
                <w:sz w:val="20"/>
                <w:szCs w:val="20"/>
              </w:rPr>
            </w:pPr>
            <w:r>
              <w:rPr>
                <w:rFonts w:ascii="Arial" w:hAnsi="Arial" w:cs="Arial"/>
                <w:sz w:val="20"/>
                <w:szCs w:val="20"/>
              </w:rPr>
              <w:t>76.4</w:t>
            </w:r>
          </w:p>
        </w:tc>
        <w:tc>
          <w:tcPr>
            <w:tcW w:w="1279" w:type="dxa"/>
          </w:tcPr>
          <w:p w14:paraId="5D734D49" w14:textId="77777777" w:rsidR="00EC7442" w:rsidRPr="007312A6" w:rsidRDefault="00EC7442" w:rsidP="00D61928">
            <w:pPr>
              <w:jc w:val="right"/>
              <w:rPr>
                <w:rFonts w:ascii="Arial" w:hAnsi="Arial" w:cs="Arial"/>
                <w:sz w:val="20"/>
                <w:szCs w:val="20"/>
              </w:rPr>
            </w:pPr>
            <w:r w:rsidRPr="007312A6">
              <w:rPr>
                <w:rFonts w:ascii="Arial" w:hAnsi="Arial" w:cs="Arial"/>
                <w:color w:val="000000"/>
                <w:sz w:val="20"/>
                <w:szCs w:val="20"/>
              </w:rPr>
              <w:t>65.2</w:t>
            </w:r>
          </w:p>
        </w:tc>
      </w:tr>
      <w:tr w:rsidR="00EC7442" w:rsidRPr="007312A6" w14:paraId="5D734D52" w14:textId="77777777" w:rsidTr="006059FC">
        <w:trPr>
          <w:tblHeader/>
        </w:trPr>
        <w:tc>
          <w:tcPr>
            <w:tcW w:w="1127" w:type="dxa"/>
            <w:vMerge/>
          </w:tcPr>
          <w:p w14:paraId="5D734D4B" w14:textId="77777777" w:rsidR="00EC7442" w:rsidRPr="007312A6" w:rsidRDefault="00EC7442" w:rsidP="00D61928">
            <w:pPr>
              <w:rPr>
                <w:rFonts w:ascii="Arial" w:hAnsi="Arial" w:cs="Arial"/>
                <w:sz w:val="20"/>
                <w:szCs w:val="20"/>
              </w:rPr>
            </w:pPr>
          </w:p>
        </w:tc>
        <w:tc>
          <w:tcPr>
            <w:tcW w:w="1215" w:type="dxa"/>
            <w:vMerge/>
          </w:tcPr>
          <w:p w14:paraId="5D734D4C" w14:textId="77777777" w:rsidR="00EC7442" w:rsidRPr="007312A6" w:rsidRDefault="00EC7442" w:rsidP="00D61928">
            <w:pPr>
              <w:rPr>
                <w:rFonts w:ascii="Arial" w:hAnsi="Arial" w:cs="Arial"/>
                <w:sz w:val="20"/>
                <w:szCs w:val="20"/>
              </w:rPr>
            </w:pPr>
          </w:p>
        </w:tc>
        <w:tc>
          <w:tcPr>
            <w:tcW w:w="2444" w:type="dxa"/>
          </w:tcPr>
          <w:p w14:paraId="5D734D4D" w14:textId="77777777" w:rsidR="00EC7442" w:rsidRPr="007312A6" w:rsidRDefault="00EC7442" w:rsidP="00D61928">
            <w:pPr>
              <w:rPr>
                <w:rFonts w:ascii="Arial" w:hAnsi="Arial" w:cs="Arial"/>
                <w:sz w:val="20"/>
                <w:szCs w:val="20"/>
              </w:rPr>
            </w:pPr>
            <w:r w:rsidRPr="007312A6">
              <w:rPr>
                <w:rFonts w:ascii="Arial" w:hAnsi="Arial" w:cs="Arial"/>
                <w:sz w:val="20"/>
                <w:szCs w:val="20"/>
              </w:rPr>
              <w:t>Mean consumption</w:t>
            </w:r>
            <w:r>
              <w:rPr>
                <w:rFonts w:ascii="Arial" w:hAnsi="Arial" w:cs="Arial"/>
                <w:sz w:val="20"/>
                <w:szCs w:val="20"/>
              </w:rPr>
              <w:t xml:space="preserve"> (g/day)</w:t>
            </w:r>
          </w:p>
        </w:tc>
        <w:tc>
          <w:tcPr>
            <w:tcW w:w="1559" w:type="dxa"/>
          </w:tcPr>
          <w:p w14:paraId="5D734D4E"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618" w:type="dxa"/>
          </w:tcPr>
          <w:p w14:paraId="5D734D4F" w14:textId="77777777" w:rsidR="00EC7442" w:rsidRPr="007312A6" w:rsidRDefault="00EC7442" w:rsidP="00D61928">
            <w:pPr>
              <w:jc w:val="right"/>
              <w:rPr>
                <w:rFonts w:ascii="Arial" w:hAnsi="Arial" w:cs="Arial"/>
                <w:sz w:val="20"/>
                <w:szCs w:val="20"/>
              </w:rPr>
            </w:pPr>
            <w:r>
              <w:rPr>
                <w:rFonts w:ascii="Arial" w:hAnsi="Arial" w:cs="Arial"/>
                <w:sz w:val="20"/>
                <w:szCs w:val="20"/>
              </w:rPr>
              <w:t>111</w:t>
            </w:r>
          </w:p>
        </w:tc>
        <w:tc>
          <w:tcPr>
            <w:tcW w:w="1279" w:type="dxa"/>
          </w:tcPr>
          <w:p w14:paraId="5D734D50" w14:textId="77777777" w:rsidR="00EC7442" w:rsidRPr="007312A6" w:rsidRDefault="00EC7442" w:rsidP="00D61928">
            <w:pPr>
              <w:jc w:val="right"/>
              <w:rPr>
                <w:rFonts w:ascii="Arial" w:hAnsi="Arial" w:cs="Arial"/>
                <w:color w:val="000000"/>
                <w:sz w:val="20"/>
                <w:szCs w:val="20"/>
              </w:rPr>
            </w:pPr>
            <w:r w:rsidRPr="007312A6">
              <w:rPr>
                <w:rFonts w:ascii="Arial" w:hAnsi="Arial" w:cs="Arial"/>
                <w:color w:val="000000"/>
                <w:sz w:val="20"/>
                <w:szCs w:val="20"/>
              </w:rPr>
              <w:t>93</w:t>
            </w:r>
          </w:p>
          <w:p w14:paraId="5D734D51" w14:textId="77777777" w:rsidR="00EC7442" w:rsidRPr="007312A6" w:rsidRDefault="00EC7442" w:rsidP="00D61928">
            <w:pPr>
              <w:jc w:val="right"/>
              <w:rPr>
                <w:rFonts w:ascii="Arial" w:hAnsi="Arial" w:cs="Arial"/>
                <w:sz w:val="20"/>
                <w:szCs w:val="20"/>
              </w:rPr>
            </w:pPr>
          </w:p>
        </w:tc>
      </w:tr>
      <w:tr w:rsidR="00EC7442" w:rsidRPr="007312A6" w14:paraId="5D734D59" w14:textId="77777777" w:rsidTr="006059FC">
        <w:trPr>
          <w:tblHeader/>
        </w:trPr>
        <w:tc>
          <w:tcPr>
            <w:tcW w:w="1127" w:type="dxa"/>
            <w:vMerge w:val="restart"/>
          </w:tcPr>
          <w:p w14:paraId="5D734D53" w14:textId="77777777" w:rsidR="00EC7442" w:rsidRPr="007312A6" w:rsidRDefault="00EC7442" w:rsidP="00D61928">
            <w:pPr>
              <w:rPr>
                <w:rFonts w:ascii="Arial" w:hAnsi="Arial" w:cs="Arial"/>
                <w:sz w:val="20"/>
                <w:szCs w:val="20"/>
              </w:rPr>
            </w:pPr>
            <w:r w:rsidRPr="007312A6">
              <w:rPr>
                <w:rFonts w:ascii="Arial" w:hAnsi="Arial" w:cs="Arial"/>
                <w:sz w:val="20"/>
                <w:szCs w:val="20"/>
              </w:rPr>
              <w:t>Females</w:t>
            </w:r>
          </w:p>
        </w:tc>
        <w:tc>
          <w:tcPr>
            <w:tcW w:w="1215" w:type="dxa"/>
            <w:vMerge w:val="restart"/>
          </w:tcPr>
          <w:p w14:paraId="5D734D54" w14:textId="77777777" w:rsidR="00EC7442" w:rsidRPr="007312A6" w:rsidRDefault="00EC7442" w:rsidP="00D61928">
            <w:pPr>
              <w:rPr>
                <w:rFonts w:ascii="Arial" w:hAnsi="Arial" w:cs="Arial"/>
                <w:sz w:val="20"/>
                <w:szCs w:val="20"/>
              </w:rPr>
            </w:pPr>
            <w:r w:rsidRPr="007312A6">
              <w:rPr>
                <w:rFonts w:ascii="Arial" w:hAnsi="Arial" w:cs="Arial"/>
                <w:sz w:val="20"/>
                <w:szCs w:val="20"/>
              </w:rPr>
              <w:t>16-44 years</w:t>
            </w:r>
          </w:p>
        </w:tc>
        <w:tc>
          <w:tcPr>
            <w:tcW w:w="2444" w:type="dxa"/>
          </w:tcPr>
          <w:p w14:paraId="5D734D55" w14:textId="77777777" w:rsidR="00EC7442" w:rsidRPr="007312A6" w:rsidRDefault="00EC7442" w:rsidP="00D61928">
            <w:pPr>
              <w:rPr>
                <w:rFonts w:ascii="Arial" w:hAnsi="Arial" w:cs="Arial"/>
                <w:sz w:val="20"/>
                <w:szCs w:val="20"/>
              </w:rPr>
            </w:pPr>
            <w:r w:rsidRPr="007312A6">
              <w:rPr>
                <w:rFonts w:ascii="Arial" w:hAnsi="Arial" w:cs="Arial"/>
                <w:sz w:val="20"/>
                <w:szCs w:val="20"/>
              </w:rPr>
              <w:t>% consumers</w:t>
            </w:r>
          </w:p>
        </w:tc>
        <w:tc>
          <w:tcPr>
            <w:tcW w:w="1559" w:type="dxa"/>
          </w:tcPr>
          <w:p w14:paraId="5D734D56"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618" w:type="dxa"/>
          </w:tcPr>
          <w:p w14:paraId="5D734D57" w14:textId="77777777" w:rsidR="00EC7442" w:rsidRPr="007312A6" w:rsidRDefault="00EC7442" w:rsidP="00D61928">
            <w:pPr>
              <w:jc w:val="right"/>
              <w:rPr>
                <w:rFonts w:ascii="Arial" w:hAnsi="Arial" w:cs="Arial"/>
                <w:sz w:val="20"/>
                <w:szCs w:val="20"/>
              </w:rPr>
            </w:pPr>
            <w:r>
              <w:rPr>
                <w:rFonts w:ascii="Arial" w:hAnsi="Arial" w:cs="Arial"/>
                <w:sz w:val="20"/>
                <w:szCs w:val="20"/>
              </w:rPr>
              <w:t>76.4</w:t>
            </w:r>
          </w:p>
        </w:tc>
        <w:tc>
          <w:tcPr>
            <w:tcW w:w="1279" w:type="dxa"/>
          </w:tcPr>
          <w:p w14:paraId="5D734D58" w14:textId="77777777" w:rsidR="00EC7442" w:rsidRPr="007312A6" w:rsidRDefault="00EC7442" w:rsidP="00D61928">
            <w:pPr>
              <w:jc w:val="right"/>
              <w:rPr>
                <w:rFonts w:ascii="Arial" w:hAnsi="Arial" w:cs="Arial"/>
                <w:sz w:val="20"/>
                <w:szCs w:val="20"/>
              </w:rPr>
            </w:pPr>
            <w:r w:rsidRPr="007312A6">
              <w:rPr>
                <w:rFonts w:ascii="Arial" w:hAnsi="Arial" w:cs="Arial"/>
                <w:color w:val="000000"/>
                <w:sz w:val="20"/>
                <w:szCs w:val="20"/>
              </w:rPr>
              <w:t>58.2</w:t>
            </w:r>
          </w:p>
        </w:tc>
      </w:tr>
      <w:tr w:rsidR="00EC7442" w:rsidRPr="007312A6" w14:paraId="5D734D61" w14:textId="77777777" w:rsidTr="006059FC">
        <w:trPr>
          <w:tblHeader/>
        </w:trPr>
        <w:tc>
          <w:tcPr>
            <w:tcW w:w="1127" w:type="dxa"/>
            <w:vMerge/>
            <w:tcBorders>
              <w:bottom w:val="single" w:sz="4" w:space="0" w:color="auto"/>
            </w:tcBorders>
          </w:tcPr>
          <w:p w14:paraId="5D734D5A" w14:textId="77777777" w:rsidR="00EC7442" w:rsidRPr="007312A6" w:rsidRDefault="00EC7442" w:rsidP="00D61928">
            <w:pPr>
              <w:rPr>
                <w:rFonts w:ascii="Arial" w:hAnsi="Arial" w:cs="Arial"/>
                <w:sz w:val="20"/>
                <w:szCs w:val="20"/>
              </w:rPr>
            </w:pPr>
          </w:p>
        </w:tc>
        <w:tc>
          <w:tcPr>
            <w:tcW w:w="1215" w:type="dxa"/>
            <w:vMerge/>
            <w:tcBorders>
              <w:bottom w:val="single" w:sz="4" w:space="0" w:color="auto"/>
            </w:tcBorders>
          </w:tcPr>
          <w:p w14:paraId="5D734D5B" w14:textId="77777777" w:rsidR="00EC7442" w:rsidRPr="007312A6" w:rsidRDefault="00EC7442" w:rsidP="00D61928">
            <w:pPr>
              <w:rPr>
                <w:rFonts w:ascii="Arial" w:hAnsi="Arial" w:cs="Arial"/>
                <w:sz w:val="20"/>
                <w:szCs w:val="20"/>
              </w:rPr>
            </w:pPr>
          </w:p>
        </w:tc>
        <w:tc>
          <w:tcPr>
            <w:tcW w:w="2444" w:type="dxa"/>
            <w:tcBorders>
              <w:bottom w:val="single" w:sz="4" w:space="0" w:color="auto"/>
            </w:tcBorders>
          </w:tcPr>
          <w:p w14:paraId="5D734D5C" w14:textId="77777777" w:rsidR="00EC7442" w:rsidRPr="007312A6" w:rsidRDefault="00EC7442" w:rsidP="00D61928">
            <w:pPr>
              <w:rPr>
                <w:rFonts w:ascii="Arial" w:hAnsi="Arial" w:cs="Arial"/>
                <w:sz w:val="20"/>
                <w:szCs w:val="20"/>
              </w:rPr>
            </w:pPr>
            <w:r w:rsidRPr="007312A6">
              <w:rPr>
                <w:rFonts w:ascii="Arial" w:hAnsi="Arial" w:cs="Arial"/>
                <w:sz w:val="20"/>
                <w:szCs w:val="20"/>
              </w:rPr>
              <w:t>Mean consumption</w:t>
            </w:r>
            <w:r>
              <w:rPr>
                <w:rFonts w:ascii="Arial" w:hAnsi="Arial" w:cs="Arial"/>
                <w:sz w:val="20"/>
                <w:szCs w:val="20"/>
              </w:rPr>
              <w:t xml:space="preserve"> (g/day)</w:t>
            </w:r>
          </w:p>
        </w:tc>
        <w:tc>
          <w:tcPr>
            <w:tcW w:w="1559" w:type="dxa"/>
            <w:tcBorders>
              <w:bottom w:val="single" w:sz="4" w:space="0" w:color="auto"/>
            </w:tcBorders>
          </w:tcPr>
          <w:p w14:paraId="5D734D5D" w14:textId="77777777" w:rsidR="00EC7442" w:rsidRPr="007312A6" w:rsidRDefault="00EC7442" w:rsidP="00D61928">
            <w:pPr>
              <w:jc w:val="right"/>
              <w:rPr>
                <w:rFonts w:ascii="Arial" w:hAnsi="Arial" w:cs="Arial"/>
                <w:sz w:val="20"/>
                <w:szCs w:val="20"/>
              </w:rPr>
            </w:pPr>
            <w:r w:rsidRPr="007312A6">
              <w:rPr>
                <w:rFonts w:ascii="Arial" w:hAnsi="Arial" w:cs="Arial"/>
                <w:sz w:val="20"/>
                <w:szCs w:val="20"/>
              </w:rPr>
              <w:t>NA</w:t>
            </w:r>
          </w:p>
        </w:tc>
        <w:tc>
          <w:tcPr>
            <w:tcW w:w="1618" w:type="dxa"/>
            <w:tcBorders>
              <w:bottom w:val="single" w:sz="4" w:space="0" w:color="auto"/>
            </w:tcBorders>
          </w:tcPr>
          <w:p w14:paraId="5D734D5E" w14:textId="77777777" w:rsidR="00EC7442" w:rsidRPr="007312A6" w:rsidRDefault="00EC7442" w:rsidP="00D61928">
            <w:pPr>
              <w:jc w:val="right"/>
              <w:rPr>
                <w:rFonts w:ascii="Arial" w:hAnsi="Arial" w:cs="Arial"/>
                <w:sz w:val="20"/>
                <w:szCs w:val="20"/>
              </w:rPr>
            </w:pPr>
            <w:r>
              <w:rPr>
                <w:rFonts w:ascii="Arial" w:hAnsi="Arial" w:cs="Arial"/>
                <w:sz w:val="20"/>
                <w:szCs w:val="20"/>
              </w:rPr>
              <w:t>97</w:t>
            </w:r>
          </w:p>
        </w:tc>
        <w:tc>
          <w:tcPr>
            <w:tcW w:w="1279" w:type="dxa"/>
            <w:tcBorders>
              <w:bottom w:val="single" w:sz="4" w:space="0" w:color="auto"/>
            </w:tcBorders>
          </w:tcPr>
          <w:p w14:paraId="5D734D5F" w14:textId="77777777" w:rsidR="00EC7442" w:rsidRPr="007312A6" w:rsidRDefault="00EC7442" w:rsidP="00D61928">
            <w:pPr>
              <w:jc w:val="right"/>
              <w:rPr>
                <w:rFonts w:ascii="Arial" w:hAnsi="Arial" w:cs="Arial"/>
                <w:color w:val="000000"/>
                <w:sz w:val="20"/>
                <w:szCs w:val="20"/>
              </w:rPr>
            </w:pPr>
            <w:r w:rsidRPr="007312A6">
              <w:rPr>
                <w:rFonts w:ascii="Arial" w:hAnsi="Arial" w:cs="Arial"/>
                <w:color w:val="000000"/>
                <w:sz w:val="20"/>
                <w:szCs w:val="20"/>
              </w:rPr>
              <w:t>7</w:t>
            </w:r>
            <w:r>
              <w:rPr>
                <w:rFonts w:ascii="Arial" w:hAnsi="Arial" w:cs="Arial"/>
                <w:color w:val="000000"/>
                <w:sz w:val="20"/>
                <w:szCs w:val="20"/>
              </w:rPr>
              <w:t>5</w:t>
            </w:r>
          </w:p>
          <w:p w14:paraId="5D734D60" w14:textId="77777777" w:rsidR="00EC7442" w:rsidRPr="007312A6" w:rsidRDefault="00EC7442" w:rsidP="00D61928">
            <w:pPr>
              <w:jc w:val="right"/>
              <w:rPr>
                <w:rFonts w:ascii="Arial" w:hAnsi="Arial" w:cs="Arial"/>
                <w:sz w:val="20"/>
                <w:szCs w:val="20"/>
              </w:rPr>
            </w:pPr>
          </w:p>
        </w:tc>
      </w:tr>
    </w:tbl>
    <w:p w14:paraId="5D734D62" w14:textId="77777777" w:rsidR="00EC7442" w:rsidRDefault="00EC7442" w:rsidP="00EC7442">
      <w:pPr>
        <w:spacing w:after="0" w:line="240" w:lineRule="auto"/>
        <w:rPr>
          <w:rFonts w:ascii="Arial" w:hAnsi="Arial" w:cs="Arial"/>
          <w:sz w:val="18"/>
        </w:rPr>
      </w:pPr>
      <w:r w:rsidRPr="00EC24A5">
        <w:rPr>
          <w:rFonts w:ascii="Arial" w:hAnsi="Arial" w:cs="Arial"/>
          <w:sz w:val="18"/>
        </w:rPr>
        <w:t xml:space="preserve">* All results weighted. </w:t>
      </w:r>
    </w:p>
    <w:p w14:paraId="5D734D64" w14:textId="405596EB" w:rsidR="00A67F1C" w:rsidRPr="00142822" w:rsidRDefault="00EC7442" w:rsidP="00142822">
      <w:pPr>
        <w:spacing w:after="0" w:line="240" w:lineRule="auto"/>
        <w:rPr>
          <w:rFonts w:ascii="Arial" w:hAnsi="Arial" w:cs="Arial"/>
          <w:sz w:val="18"/>
        </w:rPr>
      </w:pPr>
      <w:r>
        <w:rPr>
          <w:rFonts w:ascii="Arial" w:hAnsi="Arial" w:cs="Arial"/>
          <w:sz w:val="18"/>
        </w:rPr>
        <w:t>** Day 1 only.</w:t>
      </w:r>
    </w:p>
    <w:sectPr w:rsidR="00A67F1C" w:rsidRPr="00142822" w:rsidSect="009B2030">
      <w:type w:val="continuous"/>
      <w:pgSz w:w="16840" w:h="11907"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324A8" w14:textId="77777777" w:rsidR="001E1660" w:rsidRDefault="001E1660" w:rsidP="005362F0">
      <w:pPr>
        <w:spacing w:after="0" w:line="240" w:lineRule="auto"/>
      </w:pPr>
      <w:r>
        <w:separator/>
      </w:r>
    </w:p>
  </w:endnote>
  <w:endnote w:type="continuationSeparator" w:id="0">
    <w:p w14:paraId="0437BF2F" w14:textId="77777777" w:rsidR="001E1660" w:rsidRDefault="001E1660" w:rsidP="0053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D7A6" w14:textId="77777777" w:rsidR="00714F7E" w:rsidRDefault="00714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95943"/>
      <w:docPartObj>
        <w:docPartGallery w:val="Page Numbers (Bottom of Page)"/>
        <w:docPartUnique/>
      </w:docPartObj>
    </w:sdtPr>
    <w:sdtEndPr>
      <w:rPr>
        <w:rFonts w:ascii="Arial" w:hAnsi="Arial" w:cs="Arial"/>
        <w:noProof/>
      </w:rPr>
    </w:sdtEndPr>
    <w:sdtContent>
      <w:p w14:paraId="5D734D85" w14:textId="77777777" w:rsidR="00B919E0" w:rsidRPr="00C56789" w:rsidRDefault="00B919E0">
        <w:pPr>
          <w:pStyle w:val="Footer"/>
          <w:jc w:val="right"/>
          <w:rPr>
            <w:rFonts w:ascii="Arial" w:hAnsi="Arial" w:cs="Arial"/>
          </w:rPr>
        </w:pPr>
        <w:r w:rsidRPr="00C56789">
          <w:rPr>
            <w:rFonts w:ascii="Arial" w:hAnsi="Arial" w:cs="Arial"/>
          </w:rPr>
          <w:fldChar w:fldCharType="begin"/>
        </w:r>
        <w:r w:rsidRPr="00C56789">
          <w:rPr>
            <w:rFonts w:ascii="Arial" w:hAnsi="Arial" w:cs="Arial"/>
          </w:rPr>
          <w:instrText xml:space="preserve"> PAGE   \* MERGEFORMAT </w:instrText>
        </w:r>
        <w:r w:rsidRPr="00C56789">
          <w:rPr>
            <w:rFonts w:ascii="Arial" w:hAnsi="Arial" w:cs="Arial"/>
          </w:rPr>
          <w:fldChar w:fldCharType="separate"/>
        </w:r>
        <w:r w:rsidR="00A41217">
          <w:rPr>
            <w:rFonts w:ascii="Arial" w:hAnsi="Arial" w:cs="Arial"/>
            <w:noProof/>
          </w:rPr>
          <w:t>3</w:t>
        </w:r>
        <w:r w:rsidRPr="00C56789">
          <w:rPr>
            <w:rFonts w:ascii="Arial" w:hAnsi="Arial" w:cs="Arial"/>
            <w:noProof/>
          </w:rPr>
          <w:fldChar w:fldCharType="end"/>
        </w:r>
      </w:p>
    </w:sdtContent>
  </w:sdt>
  <w:p w14:paraId="5D734D86" w14:textId="77777777" w:rsidR="00B919E0" w:rsidRDefault="00B919E0" w:rsidP="00AE305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5978" w14:textId="77777777" w:rsidR="00714F7E" w:rsidRDefault="00714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83DC4" w14:textId="77777777" w:rsidR="001E1660" w:rsidRDefault="001E1660" w:rsidP="005362F0">
      <w:pPr>
        <w:spacing w:after="0" w:line="240" w:lineRule="auto"/>
      </w:pPr>
      <w:r>
        <w:separator/>
      </w:r>
    </w:p>
  </w:footnote>
  <w:footnote w:type="continuationSeparator" w:id="0">
    <w:p w14:paraId="34348BEC" w14:textId="77777777" w:rsidR="001E1660" w:rsidRDefault="001E1660" w:rsidP="005362F0">
      <w:pPr>
        <w:spacing w:after="0" w:line="240" w:lineRule="auto"/>
      </w:pPr>
      <w:r>
        <w:continuationSeparator/>
      </w:r>
    </w:p>
  </w:footnote>
  <w:footnote w:id="1">
    <w:p w14:paraId="5D734D87" w14:textId="77777777" w:rsidR="00B919E0" w:rsidRPr="00973C9D" w:rsidRDefault="00B919E0" w:rsidP="00A33288">
      <w:pPr>
        <w:pStyle w:val="FootnoteText"/>
        <w:rPr>
          <w:rFonts w:ascii="Arial" w:hAnsi="Arial" w:cs="Arial"/>
          <w:sz w:val="20"/>
        </w:rPr>
      </w:pPr>
      <w:r w:rsidRPr="00973C9D">
        <w:rPr>
          <w:rStyle w:val="FootnoteReference"/>
          <w:rFonts w:ascii="Arial" w:hAnsi="Arial" w:cs="Arial"/>
          <w:sz w:val="20"/>
        </w:rPr>
        <w:footnoteRef/>
      </w:r>
      <w:r w:rsidRPr="00973C9D">
        <w:rPr>
          <w:rFonts w:ascii="Arial" w:hAnsi="Arial" w:cs="Arial"/>
          <w:sz w:val="20"/>
        </w:rPr>
        <w:t>Ministerial Council Policy Guidelines for the Fortification of Foods with Vitamins and Minerals</w:t>
      </w:r>
    </w:p>
  </w:footnote>
  <w:footnote w:id="2">
    <w:p w14:paraId="5D734D88" w14:textId="77777777" w:rsidR="00B919E0" w:rsidRPr="001B353C" w:rsidRDefault="00B919E0" w:rsidP="00DD74F5">
      <w:pPr>
        <w:pStyle w:val="FootnoteText"/>
        <w:rPr>
          <w:rFonts w:ascii="Arial" w:hAnsi="Arial" w:cs="Arial"/>
          <w:szCs w:val="18"/>
          <w:lang w:val="en-AU"/>
        </w:rPr>
      </w:pPr>
      <w:r w:rsidRPr="001B353C">
        <w:rPr>
          <w:rStyle w:val="FootnoteReference"/>
          <w:rFonts w:ascii="Arial" w:hAnsi="Arial" w:cs="Arial"/>
          <w:szCs w:val="18"/>
        </w:rPr>
        <w:footnoteRef/>
      </w:r>
      <w:r w:rsidRPr="001B353C">
        <w:rPr>
          <w:rFonts w:ascii="Arial" w:hAnsi="Arial" w:cs="Arial"/>
          <w:szCs w:val="18"/>
        </w:rPr>
        <w:t xml:space="preserve"> FSANZ consumer attitudes to fortification reports are available at: </w:t>
      </w:r>
      <w:hyperlink r:id="rId1" w:history="1">
        <w:r w:rsidRPr="001B353C">
          <w:rPr>
            <w:rStyle w:val="Hyperlink"/>
            <w:rFonts w:ascii="Arial" w:hAnsi="Arial" w:cs="Arial"/>
            <w:szCs w:val="18"/>
          </w:rPr>
          <w:t>http://www.foodstandards.gov.au/publications/Pages/Consumers-awareness-attitudes.aspx</w:t>
        </w:r>
      </w:hyperlink>
    </w:p>
  </w:footnote>
  <w:footnote w:id="3">
    <w:p w14:paraId="5D734D89" w14:textId="77777777" w:rsidR="00B919E0" w:rsidRPr="001B353C" w:rsidRDefault="00B919E0" w:rsidP="00764389">
      <w:pPr>
        <w:pStyle w:val="FootnoteText"/>
        <w:rPr>
          <w:rFonts w:ascii="Arial" w:hAnsi="Arial" w:cs="Arial"/>
          <w:szCs w:val="18"/>
        </w:rPr>
      </w:pPr>
      <w:r w:rsidRPr="001B353C">
        <w:rPr>
          <w:rStyle w:val="FootnoteReference"/>
          <w:rFonts w:ascii="Arial" w:hAnsi="Arial" w:cs="Arial"/>
          <w:szCs w:val="18"/>
        </w:rPr>
        <w:footnoteRef/>
      </w:r>
      <w:proofErr w:type="gramStart"/>
      <w:r w:rsidRPr="001B353C">
        <w:rPr>
          <w:rFonts w:ascii="Arial" w:hAnsi="Arial" w:cs="Arial"/>
          <w:szCs w:val="18"/>
        </w:rPr>
        <w:t>Standard 2.10.2 of the Australia New Zealand Food Standards Code.</w:t>
      </w:r>
      <w:proofErr w:type="gramEnd"/>
    </w:p>
  </w:footnote>
  <w:footnote w:id="4">
    <w:p w14:paraId="5D734D8A" w14:textId="77777777" w:rsidR="00B919E0" w:rsidRPr="005C760C" w:rsidRDefault="00B919E0">
      <w:pPr>
        <w:pStyle w:val="FootnoteText"/>
        <w:rPr>
          <w:lang w:val="en-AU"/>
        </w:rPr>
      </w:pPr>
      <w:r>
        <w:rPr>
          <w:rStyle w:val="FootnoteReference"/>
        </w:rPr>
        <w:footnoteRef/>
      </w:r>
      <w:r>
        <w:t xml:space="preserve"> </w:t>
      </w:r>
      <w:r>
        <w:rPr>
          <w:lang w:val="en-AU"/>
        </w:rPr>
        <w:t>For nutrient intakes it is international practice to report 5th and 95th percentiles, based on second day adjusted intakes. Where nutrients have a non-normal distribution and second day adjustments are not possible, for example folic acid, other percentiles may be used.</w:t>
      </w:r>
    </w:p>
  </w:footnote>
  <w:footnote w:id="5">
    <w:p w14:paraId="5D734D8B" w14:textId="77777777" w:rsidR="00B919E0" w:rsidRPr="00394544" w:rsidRDefault="00B919E0" w:rsidP="000D4CF6">
      <w:pPr>
        <w:pStyle w:val="FootnoteText"/>
        <w:spacing w:after="0" w:line="240" w:lineRule="auto"/>
        <w:rPr>
          <w:rFonts w:ascii="Arial" w:hAnsi="Arial" w:cs="Arial"/>
          <w:lang w:val="en-AU"/>
        </w:rPr>
      </w:pPr>
      <w:r>
        <w:rPr>
          <w:rStyle w:val="FootnoteReference"/>
        </w:rPr>
        <w:footnoteRef/>
      </w:r>
      <w:r>
        <w:t xml:space="preserve"> </w:t>
      </w:r>
      <w:r w:rsidRPr="00394544">
        <w:rPr>
          <w:rFonts w:ascii="Arial" w:hAnsi="Arial" w:cs="Arial"/>
          <w:lang w:val="en-AU"/>
        </w:rPr>
        <w:t>Estimated Average Requirement – a daily nutrient level estimated to meet the requirements of half the individuals in a population and used to estimate the prevalence of inadequate intakes within a group.</w:t>
      </w:r>
    </w:p>
  </w:footnote>
  <w:footnote w:id="6">
    <w:p w14:paraId="5D734D8C" w14:textId="77777777" w:rsidR="00B919E0" w:rsidRPr="00394544" w:rsidRDefault="00B919E0">
      <w:pPr>
        <w:pStyle w:val="FootnoteText"/>
        <w:rPr>
          <w:rFonts w:ascii="Arial" w:hAnsi="Arial" w:cs="Arial"/>
          <w:lang w:val="en-AU"/>
        </w:rPr>
      </w:pPr>
      <w:r w:rsidRPr="00394544">
        <w:rPr>
          <w:rStyle w:val="FootnoteReference"/>
          <w:rFonts w:ascii="Arial" w:hAnsi="Arial" w:cs="Arial"/>
        </w:rPr>
        <w:footnoteRef/>
      </w:r>
      <w:r w:rsidRPr="00394544">
        <w:rPr>
          <w:rFonts w:ascii="Arial" w:hAnsi="Arial" w:cs="Arial"/>
        </w:rPr>
        <w:t xml:space="preserve"> </w:t>
      </w:r>
      <w:r w:rsidRPr="00394544">
        <w:rPr>
          <w:rFonts w:ascii="Arial" w:hAnsi="Arial" w:cs="Arial"/>
          <w:lang w:val="en-AU"/>
        </w:rPr>
        <w:t xml:space="preserve">Upper Level of Intake – the highest average daily nutrient intake level that is likely to pose </w:t>
      </w:r>
      <w:r>
        <w:rPr>
          <w:rFonts w:ascii="Arial" w:hAnsi="Arial" w:cs="Arial"/>
          <w:lang w:val="en-AU"/>
        </w:rPr>
        <w:t>no</w:t>
      </w:r>
      <w:r w:rsidRPr="00394544">
        <w:rPr>
          <w:rFonts w:ascii="Arial" w:hAnsi="Arial" w:cs="Arial"/>
          <w:lang w:val="en-AU"/>
        </w:rPr>
        <w:t xml:space="preserve"> adverse health effects to almost all individuals in the general population. It is used to estimate the percentage of the population at potential risk of adverse effects from excessive intake.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2CD5" w14:textId="77777777" w:rsidR="00714F7E" w:rsidRDefault="00714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0665" w14:textId="77777777" w:rsidR="00714F7E" w:rsidRDefault="00714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2092" w14:textId="77777777" w:rsidR="00714F7E" w:rsidRDefault="0071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BE4"/>
    <w:multiLevelType w:val="hybridMultilevel"/>
    <w:tmpl w:val="641E5FD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
    <w:nsid w:val="18C8645D"/>
    <w:multiLevelType w:val="hybridMultilevel"/>
    <w:tmpl w:val="335E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345C4"/>
    <w:multiLevelType w:val="hybridMultilevel"/>
    <w:tmpl w:val="C442C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6A4C5E"/>
    <w:multiLevelType w:val="hybridMultilevel"/>
    <w:tmpl w:val="13EE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436F7F"/>
    <w:multiLevelType w:val="hybridMultilevel"/>
    <w:tmpl w:val="6ADA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E96DAE"/>
    <w:multiLevelType w:val="hybridMultilevel"/>
    <w:tmpl w:val="1728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9461A5"/>
    <w:multiLevelType w:val="hybridMultilevel"/>
    <w:tmpl w:val="A76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C2E9D"/>
    <w:multiLevelType w:val="hybridMultilevel"/>
    <w:tmpl w:val="17A0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A918E9"/>
    <w:multiLevelType w:val="hybridMultilevel"/>
    <w:tmpl w:val="BAA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0F95B83"/>
    <w:multiLevelType w:val="hybridMultilevel"/>
    <w:tmpl w:val="F512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B5764D"/>
    <w:multiLevelType w:val="hybridMultilevel"/>
    <w:tmpl w:val="7EA0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14">
    <w:nsid w:val="55A13D90"/>
    <w:multiLevelType w:val="hybridMultilevel"/>
    <w:tmpl w:val="E022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B261F8"/>
    <w:multiLevelType w:val="hybridMultilevel"/>
    <w:tmpl w:val="84A4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437550"/>
    <w:multiLevelType w:val="hybridMultilevel"/>
    <w:tmpl w:val="EAA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EA032E"/>
    <w:multiLevelType w:val="hybridMultilevel"/>
    <w:tmpl w:val="4B3A5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0808F6"/>
    <w:multiLevelType w:val="hybridMultilevel"/>
    <w:tmpl w:val="0CD6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3915487"/>
    <w:multiLevelType w:val="hybridMultilevel"/>
    <w:tmpl w:val="0FD8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BA0A7F"/>
    <w:multiLevelType w:val="hybridMultilevel"/>
    <w:tmpl w:val="C3C4ED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nsid w:val="7B7469A8"/>
    <w:multiLevelType w:val="hybridMultilevel"/>
    <w:tmpl w:val="F250A44A"/>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20"/>
  </w:num>
  <w:num w:numId="9">
    <w:abstractNumId w:val="12"/>
  </w:num>
  <w:num w:numId="10">
    <w:abstractNumId w:val="15"/>
  </w:num>
  <w:num w:numId="11">
    <w:abstractNumId w:val="20"/>
  </w:num>
  <w:num w:numId="12">
    <w:abstractNumId w:val="12"/>
  </w:num>
  <w:num w:numId="13">
    <w:abstractNumId w:val="15"/>
  </w:num>
  <w:num w:numId="14">
    <w:abstractNumId w:val="4"/>
  </w:num>
  <w:num w:numId="15">
    <w:abstractNumId w:val="13"/>
  </w:num>
  <w:num w:numId="16">
    <w:abstractNumId w:val="3"/>
  </w:num>
  <w:num w:numId="17">
    <w:abstractNumId w:val="6"/>
  </w:num>
  <w:num w:numId="18">
    <w:abstractNumId w:val="16"/>
  </w:num>
  <w:num w:numId="19">
    <w:abstractNumId w:val="23"/>
  </w:num>
  <w:num w:numId="20">
    <w:abstractNumId w:val="8"/>
  </w:num>
  <w:num w:numId="21">
    <w:abstractNumId w:val="21"/>
  </w:num>
  <w:num w:numId="22">
    <w:abstractNumId w:val="5"/>
  </w:num>
  <w:num w:numId="23">
    <w:abstractNumId w:val="19"/>
  </w:num>
  <w:num w:numId="24">
    <w:abstractNumId w:val="7"/>
  </w:num>
  <w:num w:numId="25">
    <w:abstractNumId w:val="14"/>
  </w:num>
  <w:num w:numId="26">
    <w:abstractNumId w:val="11"/>
  </w:num>
  <w:num w:numId="27">
    <w:abstractNumId w:val="10"/>
  </w:num>
  <w:num w:numId="28">
    <w:abstractNumId w:val="0"/>
  </w:num>
  <w:num w:numId="29">
    <w:abstractNumId w:val="17"/>
  </w:num>
  <w:num w:numId="30">
    <w:abstractNumId w:val="2"/>
  </w:num>
  <w:num w:numId="31">
    <w:abstractNumId w:val="1"/>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F0"/>
    <w:rsid w:val="00001BB6"/>
    <w:rsid w:val="000027E6"/>
    <w:rsid w:val="00003F77"/>
    <w:rsid w:val="0000470C"/>
    <w:rsid w:val="000053DA"/>
    <w:rsid w:val="0000542C"/>
    <w:rsid w:val="0000789C"/>
    <w:rsid w:val="000155ED"/>
    <w:rsid w:val="00016204"/>
    <w:rsid w:val="0001770C"/>
    <w:rsid w:val="000178CB"/>
    <w:rsid w:val="0002000B"/>
    <w:rsid w:val="00020FAE"/>
    <w:rsid w:val="00023783"/>
    <w:rsid w:val="000250FB"/>
    <w:rsid w:val="000262C4"/>
    <w:rsid w:val="0002655D"/>
    <w:rsid w:val="00027A01"/>
    <w:rsid w:val="00030D84"/>
    <w:rsid w:val="000327DF"/>
    <w:rsid w:val="0003584A"/>
    <w:rsid w:val="00041643"/>
    <w:rsid w:val="0004376A"/>
    <w:rsid w:val="000452DA"/>
    <w:rsid w:val="00046FC8"/>
    <w:rsid w:val="000530D0"/>
    <w:rsid w:val="000556B1"/>
    <w:rsid w:val="000562D0"/>
    <w:rsid w:val="00057E13"/>
    <w:rsid w:val="000622E7"/>
    <w:rsid w:val="000623FE"/>
    <w:rsid w:val="00066854"/>
    <w:rsid w:val="00066D85"/>
    <w:rsid w:val="00070417"/>
    <w:rsid w:val="00071151"/>
    <w:rsid w:val="000728F9"/>
    <w:rsid w:val="00072D6C"/>
    <w:rsid w:val="000730F9"/>
    <w:rsid w:val="000733A8"/>
    <w:rsid w:val="00073BF8"/>
    <w:rsid w:val="00073DC7"/>
    <w:rsid w:val="00075820"/>
    <w:rsid w:val="00075C1D"/>
    <w:rsid w:val="00080819"/>
    <w:rsid w:val="00085959"/>
    <w:rsid w:val="00094B4A"/>
    <w:rsid w:val="00097059"/>
    <w:rsid w:val="000A025D"/>
    <w:rsid w:val="000A087F"/>
    <w:rsid w:val="000A13C3"/>
    <w:rsid w:val="000A2EC1"/>
    <w:rsid w:val="000A38F8"/>
    <w:rsid w:val="000A650D"/>
    <w:rsid w:val="000A7DE0"/>
    <w:rsid w:val="000B1CA1"/>
    <w:rsid w:val="000B3C61"/>
    <w:rsid w:val="000B42F4"/>
    <w:rsid w:val="000C25C8"/>
    <w:rsid w:val="000C576F"/>
    <w:rsid w:val="000C5BF6"/>
    <w:rsid w:val="000C5CE2"/>
    <w:rsid w:val="000D386F"/>
    <w:rsid w:val="000D4673"/>
    <w:rsid w:val="000D4CF6"/>
    <w:rsid w:val="000D695B"/>
    <w:rsid w:val="000D7A14"/>
    <w:rsid w:val="000E0B67"/>
    <w:rsid w:val="000E366F"/>
    <w:rsid w:val="000E3D09"/>
    <w:rsid w:val="000E4707"/>
    <w:rsid w:val="000F2196"/>
    <w:rsid w:val="000F4E2C"/>
    <w:rsid w:val="000F5E29"/>
    <w:rsid w:val="000F6DB6"/>
    <w:rsid w:val="000F705A"/>
    <w:rsid w:val="001004B0"/>
    <w:rsid w:val="00101260"/>
    <w:rsid w:val="001020DB"/>
    <w:rsid w:val="0010294C"/>
    <w:rsid w:val="00102CBC"/>
    <w:rsid w:val="001036D2"/>
    <w:rsid w:val="00105695"/>
    <w:rsid w:val="0010613B"/>
    <w:rsid w:val="001104EA"/>
    <w:rsid w:val="00113644"/>
    <w:rsid w:val="00117E26"/>
    <w:rsid w:val="00127265"/>
    <w:rsid w:val="00130479"/>
    <w:rsid w:val="00131253"/>
    <w:rsid w:val="00131B9F"/>
    <w:rsid w:val="00131F27"/>
    <w:rsid w:val="00132F37"/>
    <w:rsid w:val="001333A2"/>
    <w:rsid w:val="00136EB4"/>
    <w:rsid w:val="0013733C"/>
    <w:rsid w:val="00137CEC"/>
    <w:rsid w:val="0014010E"/>
    <w:rsid w:val="00140333"/>
    <w:rsid w:val="001409A9"/>
    <w:rsid w:val="001425DC"/>
    <w:rsid w:val="00142822"/>
    <w:rsid w:val="001432FB"/>
    <w:rsid w:val="00143434"/>
    <w:rsid w:val="00143A9A"/>
    <w:rsid w:val="001574BF"/>
    <w:rsid w:val="00171902"/>
    <w:rsid w:val="001734EA"/>
    <w:rsid w:val="00176764"/>
    <w:rsid w:val="00181726"/>
    <w:rsid w:val="00184403"/>
    <w:rsid w:val="001860FC"/>
    <w:rsid w:val="0019028A"/>
    <w:rsid w:val="00191770"/>
    <w:rsid w:val="0019211C"/>
    <w:rsid w:val="00192456"/>
    <w:rsid w:val="0019322A"/>
    <w:rsid w:val="0019555C"/>
    <w:rsid w:val="00197F9A"/>
    <w:rsid w:val="001A08DE"/>
    <w:rsid w:val="001A0959"/>
    <w:rsid w:val="001A3111"/>
    <w:rsid w:val="001A44DC"/>
    <w:rsid w:val="001B2377"/>
    <w:rsid w:val="001B353C"/>
    <w:rsid w:val="001B456B"/>
    <w:rsid w:val="001B4977"/>
    <w:rsid w:val="001B59FB"/>
    <w:rsid w:val="001B5B20"/>
    <w:rsid w:val="001C1317"/>
    <w:rsid w:val="001C2CA9"/>
    <w:rsid w:val="001C4453"/>
    <w:rsid w:val="001C5126"/>
    <w:rsid w:val="001C6616"/>
    <w:rsid w:val="001C7974"/>
    <w:rsid w:val="001D0A67"/>
    <w:rsid w:val="001D0D89"/>
    <w:rsid w:val="001D270F"/>
    <w:rsid w:val="001D3A88"/>
    <w:rsid w:val="001D6E68"/>
    <w:rsid w:val="001E0D34"/>
    <w:rsid w:val="001E1660"/>
    <w:rsid w:val="001E2ED4"/>
    <w:rsid w:val="001E3FDD"/>
    <w:rsid w:val="001E6101"/>
    <w:rsid w:val="001E696B"/>
    <w:rsid w:val="001E6D6A"/>
    <w:rsid w:val="001F0276"/>
    <w:rsid w:val="001F2D8D"/>
    <w:rsid w:val="001F499C"/>
    <w:rsid w:val="001F4AE6"/>
    <w:rsid w:val="001F5057"/>
    <w:rsid w:val="00210E28"/>
    <w:rsid w:val="0021123C"/>
    <w:rsid w:val="00214021"/>
    <w:rsid w:val="00214DCA"/>
    <w:rsid w:val="00214F49"/>
    <w:rsid w:val="00215A7D"/>
    <w:rsid w:val="002169FD"/>
    <w:rsid w:val="002216CE"/>
    <w:rsid w:val="002223A3"/>
    <w:rsid w:val="002232B1"/>
    <w:rsid w:val="0022338B"/>
    <w:rsid w:val="00224DB4"/>
    <w:rsid w:val="00227EAA"/>
    <w:rsid w:val="00230D80"/>
    <w:rsid w:val="0023470E"/>
    <w:rsid w:val="00234C31"/>
    <w:rsid w:val="00237AC1"/>
    <w:rsid w:val="0024039A"/>
    <w:rsid w:val="0024270B"/>
    <w:rsid w:val="0024322A"/>
    <w:rsid w:val="0024360A"/>
    <w:rsid w:val="002439CC"/>
    <w:rsid w:val="002465DF"/>
    <w:rsid w:val="00247699"/>
    <w:rsid w:val="00247CFC"/>
    <w:rsid w:val="002502E7"/>
    <w:rsid w:val="00252388"/>
    <w:rsid w:val="00252A27"/>
    <w:rsid w:val="00252A81"/>
    <w:rsid w:val="00254E42"/>
    <w:rsid w:val="002551DA"/>
    <w:rsid w:val="00256181"/>
    <w:rsid w:val="00256223"/>
    <w:rsid w:val="002610A1"/>
    <w:rsid w:val="0026571D"/>
    <w:rsid w:val="00265BDC"/>
    <w:rsid w:val="00270A5C"/>
    <w:rsid w:val="0027376B"/>
    <w:rsid w:val="002754F2"/>
    <w:rsid w:val="0027675B"/>
    <w:rsid w:val="00280B25"/>
    <w:rsid w:val="00281291"/>
    <w:rsid w:val="00284CF8"/>
    <w:rsid w:val="00286E2D"/>
    <w:rsid w:val="0029164D"/>
    <w:rsid w:val="00292818"/>
    <w:rsid w:val="00293DB3"/>
    <w:rsid w:val="002969CA"/>
    <w:rsid w:val="002A0BDC"/>
    <w:rsid w:val="002A313E"/>
    <w:rsid w:val="002A4D37"/>
    <w:rsid w:val="002A5F1D"/>
    <w:rsid w:val="002A6E8D"/>
    <w:rsid w:val="002B3563"/>
    <w:rsid w:val="002B3973"/>
    <w:rsid w:val="002B4CBA"/>
    <w:rsid w:val="002B4D30"/>
    <w:rsid w:val="002B4FC8"/>
    <w:rsid w:val="002B59EC"/>
    <w:rsid w:val="002B62A7"/>
    <w:rsid w:val="002B7F75"/>
    <w:rsid w:val="002C245A"/>
    <w:rsid w:val="002C2858"/>
    <w:rsid w:val="002C41A3"/>
    <w:rsid w:val="002C44D9"/>
    <w:rsid w:val="002C59A7"/>
    <w:rsid w:val="002C63D5"/>
    <w:rsid w:val="002D048C"/>
    <w:rsid w:val="002D18BF"/>
    <w:rsid w:val="002D3946"/>
    <w:rsid w:val="002D601B"/>
    <w:rsid w:val="002D79FF"/>
    <w:rsid w:val="002E0413"/>
    <w:rsid w:val="002E0DB9"/>
    <w:rsid w:val="002E16FE"/>
    <w:rsid w:val="002E5EE8"/>
    <w:rsid w:val="002F491C"/>
    <w:rsid w:val="00302D10"/>
    <w:rsid w:val="0030376D"/>
    <w:rsid w:val="00304119"/>
    <w:rsid w:val="003046C3"/>
    <w:rsid w:val="00307743"/>
    <w:rsid w:val="0031152C"/>
    <w:rsid w:val="00313301"/>
    <w:rsid w:val="00314280"/>
    <w:rsid w:val="00314FF9"/>
    <w:rsid w:val="00323F27"/>
    <w:rsid w:val="00324B77"/>
    <w:rsid w:val="0033021F"/>
    <w:rsid w:val="003320B1"/>
    <w:rsid w:val="00336C12"/>
    <w:rsid w:val="00337186"/>
    <w:rsid w:val="00337255"/>
    <w:rsid w:val="003379B6"/>
    <w:rsid w:val="00340465"/>
    <w:rsid w:val="00341D25"/>
    <w:rsid w:val="003433C0"/>
    <w:rsid w:val="00343982"/>
    <w:rsid w:val="0034592B"/>
    <w:rsid w:val="00346A57"/>
    <w:rsid w:val="00346ACB"/>
    <w:rsid w:val="00350157"/>
    <w:rsid w:val="003522CC"/>
    <w:rsid w:val="0035386A"/>
    <w:rsid w:val="00353DFB"/>
    <w:rsid w:val="00353E28"/>
    <w:rsid w:val="003548B7"/>
    <w:rsid w:val="00355A15"/>
    <w:rsid w:val="003560F2"/>
    <w:rsid w:val="00360D5B"/>
    <w:rsid w:val="003627C5"/>
    <w:rsid w:val="003628C6"/>
    <w:rsid w:val="00362A9C"/>
    <w:rsid w:val="00362D27"/>
    <w:rsid w:val="00363D0B"/>
    <w:rsid w:val="00370F87"/>
    <w:rsid w:val="003713BA"/>
    <w:rsid w:val="00374C82"/>
    <w:rsid w:val="0037662A"/>
    <w:rsid w:val="003844CF"/>
    <w:rsid w:val="003847E7"/>
    <w:rsid w:val="00387883"/>
    <w:rsid w:val="00391761"/>
    <w:rsid w:val="003919C8"/>
    <w:rsid w:val="00393A92"/>
    <w:rsid w:val="00394544"/>
    <w:rsid w:val="00397E02"/>
    <w:rsid w:val="003A0710"/>
    <w:rsid w:val="003A4A32"/>
    <w:rsid w:val="003A6DC7"/>
    <w:rsid w:val="003B0CA1"/>
    <w:rsid w:val="003B3603"/>
    <w:rsid w:val="003B4FEF"/>
    <w:rsid w:val="003B557E"/>
    <w:rsid w:val="003B584E"/>
    <w:rsid w:val="003C10CD"/>
    <w:rsid w:val="003C386B"/>
    <w:rsid w:val="003C7125"/>
    <w:rsid w:val="003D0E7E"/>
    <w:rsid w:val="003D1B88"/>
    <w:rsid w:val="003D3B20"/>
    <w:rsid w:val="003D73C7"/>
    <w:rsid w:val="003E0B5C"/>
    <w:rsid w:val="003E39E8"/>
    <w:rsid w:val="003E3D42"/>
    <w:rsid w:val="003E67D0"/>
    <w:rsid w:val="003F36B6"/>
    <w:rsid w:val="003F3916"/>
    <w:rsid w:val="003F3ED3"/>
    <w:rsid w:val="003F4511"/>
    <w:rsid w:val="003F5AF3"/>
    <w:rsid w:val="003F614F"/>
    <w:rsid w:val="003F728A"/>
    <w:rsid w:val="00400151"/>
    <w:rsid w:val="004006EF"/>
    <w:rsid w:val="00400B14"/>
    <w:rsid w:val="00401FCD"/>
    <w:rsid w:val="00404702"/>
    <w:rsid w:val="00404DFF"/>
    <w:rsid w:val="00410089"/>
    <w:rsid w:val="00410BCA"/>
    <w:rsid w:val="00412CE9"/>
    <w:rsid w:val="00416E99"/>
    <w:rsid w:val="004212A1"/>
    <w:rsid w:val="0042176C"/>
    <w:rsid w:val="0042196E"/>
    <w:rsid w:val="0042362E"/>
    <w:rsid w:val="00424159"/>
    <w:rsid w:val="00424888"/>
    <w:rsid w:val="004257D2"/>
    <w:rsid w:val="00426AB8"/>
    <w:rsid w:val="00427017"/>
    <w:rsid w:val="004273A5"/>
    <w:rsid w:val="004337A7"/>
    <w:rsid w:val="0043672E"/>
    <w:rsid w:val="00441D77"/>
    <w:rsid w:val="00442003"/>
    <w:rsid w:val="00443BA8"/>
    <w:rsid w:val="00443F05"/>
    <w:rsid w:val="00446228"/>
    <w:rsid w:val="004507CA"/>
    <w:rsid w:val="00455922"/>
    <w:rsid w:val="00456965"/>
    <w:rsid w:val="0045741F"/>
    <w:rsid w:val="004608D0"/>
    <w:rsid w:val="00460D0A"/>
    <w:rsid w:val="004669DF"/>
    <w:rsid w:val="00467678"/>
    <w:rsid w:val="004745E8"/>
    <w:rsid w:val="0047625E"/>
    <w:rsid w:val="00477A57"/>
    <w:rsid w:val="0048197D"/>
    <w:rsid w:val="00482B46"/>
    <w:rsid w:val="00483CA5"/>
    <w:rsid w:val="00484D47"/>
    <w:rsid w:val="00486619"/>
    <w:rsid w:val="00487C26"/>
    <w:rsid w:val="004907BD"/>
    <w:rsid w:val="004908A8"/>
    <w:rsid w:val="00490C90"/>
    <w:rsid w:val="00490C9A"/>
    <w:rsid w:val="00493041"/>
    <w:rsid w:val="00493DFA"/>
    <w:rsid w:val="004964DF"/>
    <w:rsid w:val="0049763C"/>
    <w:rsid w:val="004A0417"/>
    <w:rsid w:val="004A0500"/>
    <w:rsid w:val="004A4838"/>
    <w:rsid w:val="004A678F"/>
    <w:rsid w:val="004A693B"/>
    <w:rsid w:val="004B05C0"/>
    <w:rsid w:val="004B1ACD"/>
    <w:rsid w:val="004B4847"/>
    <w:rsid w:val="004C0820"/>
    <w:rsid w:val="004C0C13"/>
    <w:rsid w:val="004C5076"/>
    <w:rsid w:val="004C7109"/>
    <w:rsid w:val="004D3868"/>
    <w:rsid w:val="004E0BA5"/>
    <w:rsid w:val="004E1BBB"/>
    <w:rsid w:val="004E472D"/>
    <w:rsid w:val="004E6694"/>
    <w:rsid w:val="004F06CB"/>
    <w:rsid w:val="004F10F9"/>
    <w:rsid w:val="004F1C02"/>
    <w:rsid w:val="004F3267"/>
    <w:rsid w:val="004F583D"/>
    <w:rsid w:val="004F5C54"/>
    <w:rsid w:val="0051032B"/>
    <w:rsid w:val="00510598"/>
    <w:rsid w:val="00513B49"/>
    <w:rsid w:val="00516969"/>
    <w:rsid w:val="00517AAF"/>
    <w:rsid w:val="0052033B"/>
    <w:rsid w:val="005239A5"/>
    <w:rsid w:val="00523CC5"/>
    <w:rsid w:val="00523DA9"/>
    <w:rsid w:val="005250AA"/>
    <w:rsid w:val="00525B79"/>
    <w:rsid w:val="0052631B"/>
    <w:rsid w:val="00526858"/>
    <w:rsid w:val="00531242"/>
    <w:rsid w:val="00531E5D"/>
    <w:rsid w:val="0053248C"/>
    <w:rsid w:val="00535765"/>
    <w:rsid w:val="005358F0"/>
    <w:rsid w:val="005362F0"/>
    <w:rsid w:val="00536FC5"/>
    <w:rsid w:val="00537CE1"/>
    <w:rsid w:val="0054036E"/>
    <w:rsid w:val="005418D2"/>
    <w:rsid w:val="00541FC9"/>
    <w:rsid w:val="005423E9"/>
    <w:rsid w:val="005445C2"/>
    <w:rsid w:val="00545528"/>
    <w:rsid w:val="00550F5B"/>
    <w:rsid w:val="00551003"/>
    <w:rsid w:val="00553276"/>
    <w:rsid w:val="005538CD"/>
    <w:rsid w:val="00554FDE"/>
    <w:rsid w:val="005557F9"/>
    <w:rsid w:val="00563EBF"/>
    <w:rsid w:val="005707D1"/>
    <w:rsid w:val="00572D0E"/>
    <w:rsid w:val="00573C22"/>
    <w:rsid w:val="0057417C"/>
    <w:rsid w:val="00574762"/>
    <w:rsid w:val="005800F8"/>
    <w:rsid w:val="005808CA"/>
    <w:rsid w:val="00585210"/>
    <w:rsid w:val="00586413"/>
    <w:rsid w:val="005911A2"/>
    <w:rsid w:val="00595068"/>
    <w:rsid w:val="0059617D"/>
    <w:rsid w:val="00596474"/>
    <w:rsid w:val="0059768E"/>
    <w:rsid w:val="005A1632"/>
    <w:rsid w:val="005A4D55"/>
    <w:rsid w:val="005A64CE"/>
    <w:rsid w:val="005B0506"/>
    <w:rsid w:val="005B08F8"/>
    <w:rsid w:val="005B35F4"/>
    <w:rsid w:val="005B56B4"/>
    <w:rsid w:val="005B578D"/>
    <w:rsid w:val="005B5923"/>
    <w:rsid w:val="005B59B6"/>
    <w:rsid w:val="005B5E45"/>
    <w:rsid w:val="005B7687"/>
    <w:rsid w:val="005C0C82"/>
    <w:rsid w:val="005C17A9"/>
    <w:rsid w:val="005C1996"/>
    <w:rsid w:val="005C4201"/>
    <w:rsid w:val="005C60BC"/>
    <w:rsid w:val="005C6281"/>
    <w:rsid w:val="005C7545"/>
    <w:rsid w:val="005C760C"/>
    <w:rsid w:val="005C7D2A"/>
    <w:rsid w:val="005D17D1"/>
    <w:rsid w:val="005D2FFD"/>
    <w:rsid w:val="005D5C71"/>
    <w:rsid w:val="005D7E59"/>
    <w:rsid w:val="005E1F0F"/>
    <w:rsid w:val="005E3AB6"/>
    <w:rsid w:val="005E40FB"/>
    <w:rsid w:val="005E5085"/>
    <w:rsid w:val="005F0146"/>
    <w:rsid w:val="005F2ADB"/>
    <w:rsid w:val="005F589D"/>
    <w:rsid w:val="005F6387"/>
    <w:rsid w:val="005F7270"/>
    <w:rsid w:val="005F7CE6"/>
    <w:rsid w:val="006033FD"/>
    <w:rsid w:val="006046D8"/>
    <w:rsid w:val="00604882"/>
    <w:rsid w:val="006059FC"/>
    <w:rsid w:val="00605C68"/>
    <w:rsid w:val="0060721A"/>
    <w:rsid w:val="00607A16"/>
    <w:rsid w:val="006140D3"/>
    <w:rsid w:val="006147DF"/>
    <w:rsid w:val="006171A3"/>
    <w:rsid w:val="00621524"/>
    <w:rsid w:val="00622A8C"/>
    <w:rsid w:val="006250B1"/>
    <w:rsid w:val="00627F8C"/>
    <w:rsid w:val="006318D3"/>
    <w:rsid w:val="00632EED"/>
    <w:rsid w:val="00633FCF"/>
    <w:rsid w:val="00634122"/>
    <w:rsid w:val="0063501D"/>
    <w:rsid w:val="006407AE"/>
    <w:rsid w:val="00640F97"/>
    <w:rsid w:val="006411D5"/>
    <w:rsid w:val="00642AB1"/>
    <w:rsid w:val="00647F4C"/>
    <w:rsid w:val="006500B6"/>
    <w:rsid w:val="00650AD0"/>
    <w:rsid w:val="0065328B"/>
    <w:rsid w:val="00653D72"/>
    <w:rsid w:val="006542D0"/>
    <w:rsid w:val="006564F5"/>
    <w:rsid w:val="00656DDA"/>
    <w:rsid w:val="00657AD8"/>
    <w:rsid w:val="00662368"/>
    <w:rsid w:val="00663DA5"/>
    <w:rsid w:val="0066482A"/>
    <w:rsid w:val="006657A2"/>
    <w:rsid w:val="00670403"/>
    <w:rsid w:val="006724CC"/>
    <w:rsid w:val="00672CBD"/>
    <w:rsid w:val="006739B0"/>
    <w:rsid w:val="006765A4"/>
    <w:rsid w:val="0068169A"/>
    <w:rsid w:val="00690055"/>
    <w:rsid w:val="00693CCD"/>
    <w:rsid w:val="006A268A"/>
    <w:rsid w:val="006A6397"/>
    <w:rsid w:val="006B29C4"/>
    <w:rsid w:val="006B3DCD"/>
    <w:rsid w:val="006B3E2A"/>
    <w:rsid w:val="006B473F"/>
    <w:rsid w:val="006B4E07"/>
    <w:rsid w:val="006B57A7"/>
    <w:rsid w:val="006B5D5D"/>
    <w:rsid w:val="006B6471"/>
    <w:rsid w:val="006B6900"/>
    <w:rsid w:val="006B7EB6"/>
    <w:rsid w:val="006C3911"/>
    <w:rsid w:val="006C47B4"/>
    <w:rsid w:val="006C4BCA"/>
    <w:rsid w:val="006C5256"/>
    <w:rsid w:val="006C5292"/>
    <w:rsid w:val="006C6D43"/>
    <w:rsid w:val="006D473E"/>
    <w:rsid w:val="006D5F96"/>
    <w:rsid w:val="006D7070"/>
    <w:rsid w:val="006D73C5"/>
    <w:rsid w:val="006E0380"/>
    <w:rsid w:val="006E2914"/>
    <w:rsid w:val="006E2BE6"/>
    <w:rsid w:val="006E3E3E"/>
    <w:rsid w:val="006E7116"/>
    <w:rsid w:val="006E7853"/>
    <w:rsid w:val="006F2570"/>
    <w:rsid w:val="006F522B"/>
    <w:rsid w:val="006F6017"/>
    <w:rsid w:val="00700D64"/>
    <w:rsid w:val="00703152"/>
    <w:rsid w:val="00704AA9"/>
    <w:rsid w:val="00704C5D"/>
    <w:rsid w:val="0070578C"/>
    <w:rsid w:val="00706CCA"/>
    <w:rsid w:val="00707B51"/>
    <w:rsid w:val="00714F7E"/>
    <w:rsid w:val="007165E2"/>
    <w:rsid w:val="007173BF"/>
    <w:rsid w:val="00725614"/>
    <w:rsid w:val="00725C16"/>
    <w:rsid w:val="00725D10"/>
    <w:rsid w:val="00725D70"/>
    <w:rsid w:val="007314FA"/>
    <w:rsid w:val="007328D0"/>
    <w:rsid w:val="00733120"/>
    <w:rsid w:val="00741DA1"/>
    <w:rsid w:val="00742ABC"/>
    <w:rsid w:val="007448AC"/>
    <w:rsid w:val="00744C07"/>
    <w:rsid w:val="00746CF3"/>
    <w:rsid w:val="00747DF8"/>
    <w:rsid w:val="00751276"/>
    <w:rsid w:val="0075163C"/>
    <w:rsid w:val="00760187"/>
    <w:rsid w:val="007614F0"/>
    <w:rsid w:val="00764389"/>
    <w:rsid w:val="00765EA8"/>
    <w:rsid w:val="007660D7"/>
    <w:rsid w:val="0076630B"/>
    <w:rsid w:val="00767411"/>
    <w:rsid w:val="007706B5"/>
    <w:rsid w:val="007718B4"/>
    <w:rsid w:val="0077343C"/>
    <w:rsid w:val="007764FD"/>
    <w:rsid w:val="007776F9"/>
    <w:rsid w:val="007834C9"/>
    <w:rsid w:val="00783D48"/>
    <w:rsid w:val="007845AA"/>
    <w:rsid w:val="007845C4"/>
    <w:rsid w:val="00784C6D"/>
    <w:rsid w:val="00785721"/>
    <w:rsid w:val="00785E34"/>
    <w:rsid w:val="00786766"/>
    <w:rsid w:val="00786C4A"/>
    <w:rsid w:val="007935F9"/>
    <w:rsid w:val="007937B2"/>
    <w:rsid w:val="00793DE6"/>
    <w:rsid w:val="00794D12"/>
    <w:rsid w:val="00796633"/>
    <w:rsid w:val="00797F54"/>
    <w:rsid w:val="007A0BDD"/>
    <w:rsid w:val="007A11D6"/>
    <w:rsid w:val="007A3AAF"/>
    <w:rsid w:val="007A4EA2"/>
    <w:rsid w:val="007A5F30"/>
    <w:rsid w:val="007A6F55"/>
    <w:rsid w:val="007B0911"/>
    <w:rsid w:val="007B280F"/>
    <w:rsid w:val="007B7DD8"/>
    <w:rsid w:val="007C1497"/>
    <w:rsid w:val="007C3617"/>
    <w:rsid w:val="007C7CFF"/>
    <w:rsid w:val="007D3486"/>
    <w:rsid w:val="007D5DFB"/>
    <w:rsid w:val="007D6595"/>
    <w:rsid w:val="007E0748"/>
    <w:rsid w:val="007E0894"/>
    <w:rsid w:val="007E0901"/>
    <w:rsid w:val="007E0C21"/>
    <w:rsid w:val="007E2226"/>
    <w:rsid w:val="007E2F03"/>
    <w:rsid w:val="007E5185"/>
    <w:rsid w:val="007E707A"/>
    <w:rsid w:val="007F22A0"/>
    <w:rsid w:val="007F351D"/>
    <w:rsid w:val="007F6456"/>
    <w:rsid w:val="00805FC8"/>
    <w:rsid w:val="008105D1"/>
    <w:rsid w:val="008174C2"/>
    <w:rsid w:val="008204B5"/>
    <w:rsid w:val="00823BAD"/>
    <w:rsid w:val="00825CC0"/>
    <w:rsid w:val="008268E7"/>
    <w:rsid w:val="00827571"/>
    <w:rsid w:val="00830393"/>
    <w:rsid w:val="00830507"/>
    <w:rsid w:val="00831212"/>
    <w:rsid w:val="00833D5A"/>
    <w:rsid w:val="00834B4B"/>
    <w:rsid w:val="00840442"/>
    <w:rsid w:val="00840CE7"/>
    <w:rsid w:val="008414DF"/>
    <w:rsid w:val="008430C8"/>
    <w:rsid w:val="00844F64"/>
    <w:rsid w:val="008451CF"/>
    <w:rsid w:val="008451DE"/>
    <w:rsid w:val="0084554A"/>
    <w:rsid w:val="00845ADB"/>
    <w:rsid w:val="00846F29"/>
    <w:rsid w:val="00851715"/>
    <w:rsid w:val="00852E05"/>
    <w:rsid w:val="008549E6"/>
    <w:rsid w:val="00854D0D"/>
    <w:rsid w:val="0085504D"/>
    <w:rsid w:val="0085626F"/>
    <w:rsid w:val="00860566"/>
    <w:rsid w:val="00860EE7"/>
    <w:rsid w:val="0086475A"/>
    <w:rsid w:val="00865080"/>
    <w:rsid w:val="00866558"/>
    <w:rsid w:val="00866C79"/>
    <w:rsid w:val="00867A48"/>
    <w:rsid w:val="0087047C"/>
    <w:rsid w:val="00871E50"/>
    <w:rsid w:val="008724B8"/>
    <w:rsid w:val="0087328D"/>
    <w:rsid w:val="008744D4"/>
    <w:rsid w:val="0087692C"/>
    <w:rsid w:val="00876EB6"/>
    <w:rsid w:val="00877A81"/>
    <w:rsid w:val="00880BD2"/>
    <w:rsid w:val="0088655F"/>
    <w:rsid w:val="00887632"/>
    <w:rsid w:val="0089141E"/>
    <w:rsid w:val="00892542"/>
    <w:rsid w:val="008931F6"/>
    <w:rsid w:val="00897DDD"/>
    <w:rsid w:val="008A27EB"/>
    <w:rsid w:val="008A52F0"/>
    <w:rsid w:val="008A570B"/>
    <w:rsid w:val="008B1678"/>
    <w:rsid w:val="008B4898"/>
    <w:rsid w:val="008B4FE5"/>
    <w:rsid w:val="008C13E3"/>
    <w:rsid w:val="008C2202"/>
    <w:rsid w:val="008C2EE7"/>
    <w:rsid w:val="008C4AF9"/>
    <w:rsid w:val="008C5E69"/>
    <w:rsid w:val="008D0456"/>
    <w:rsid w:val="008D3D66"/>
    <w:rsid w:val="008D478D"/>
    <w:rsid w:val="008D5587"/>
    <w:rsid w:val="008D55C9"/>
    <w:rsid w:val="008D701D"/>
    <w:rsid w:val="008E2339"/>
    <w:rsid w:val="008F127E"/>
    <w:rsid w:val="008F3AA1"/>
    <w:rsid w:val="008F5E71"/>
    <w:rsid w:val="0090122D"/>
    <w:rsid w:val="009015C1"/>
    <w:rsid w:val="00903870"/>
    <w:rsid w:val="00904293"/>
    <w:rsid w:val="0090537C"/>
    <w:rsid w:val="009071DE"/>
    <w:rsid w:val="00913EFE"/>
    <w:rsid w:val="009153C0"/>
    <w:rsid w:val="00916C9E"/>
    <w:rsid w:val="00923BC3"/>
    <w:rsid w:val="00925FD5"/>
    <w:rsid w:val="00931B04"/>
    <w:rsid w:val="00932E38"/>
    <w:rsid w:val="00935023"/>
    <w:rsid w:val="009363D3"/>
    <w:rsid w:val="009365EC"/>
    <w:rsid w:val="00940434"/>
    <w:rsid w:val="00941229"/>
    <w:rsid w:val="0094160F"/>
    <w:rsid w:val="00942B0B"/>
    <w:rsid w:val="00944A7B"/>
    <w:rsid w:val="0095134B"/>
    <w:rsid w:val="00951925"/>
    <w:rsid w:val="009610C2"/>
    <w:rsid w:val="0096172E"/>
    <w:rsid w:val="00962C1B"/>
    <w:rsid w:val="00962C33"/>
    <w:rsid w:val="00965B05"/>
    <w:rsid w:val="00980596"/>
    <w:rsid w:val="009806A5"/>
    <w:rsid w:val="00980D16"/>
    <w:rsid w:val="00981753"/>
    <w:rsid w:val="009822DA"/>
    <w:rsid w:val="009843F6"/>
    <w:rsid w:val="00984B7E"/>
    <w:rsid w:val="00984D27"/>
    <w:rsid w:val="00985E3C"/>
    <w:rsid w:val="009862AA"/>
    <w:rsid w:val="00986A0F"/>
    <w:rsid w:val="00987237"/>
    <w:rsid w:val="00990FD4"/>
    <w:rsid w:val="00991F5A"/>
    <w:rsid w:val="00992F51"/>
    <w:rsid w:val="00995844"/>
    <w:rsid w:val="009A175B"/>
    <w:rsid w:val="009A641A"/>
    <w:rsid w:val="009A7225"/>
    <w:rsid w:val="009B0327"/>
    <w:rsid w:val="009B0530"/>
    <w:rsid w:val="009B2030"/>
    <w:rsid w:val="009B2F41"/>
    <w:rsid w:val="009B4977"/>
    <w:rsid w:val="009B7C95"/>
    <w:rsid w:val="009C0893"/>
    <w:rsid w:val="009C4A82"/>
    <w:rsid w:val="009C642B"/>
    <w:rsid w:val="009D04DD"/>
    <w:rsid w:val="009D1550"/>
    <w:rsid w:val="009D21B6"/>
    <w:rsid w:val="009D2678"/>
    <w:rsid w:val="009D30C3"/>
    <w:rsid w:val="009D489D"/>
    <w:rsid w:val="009D4F18"/>
    <w:rsid w:val="009E19AB"/>
    <w:rsid w:val="009E1D75"/>
    <w:rsid w:val="009E265A"/>
    <w:rsid w:val="009E2D35"/>
    <w:rsid w:val="009E496A"/>
    <w:rsid w:val="009E5990"/>
    <w:rsid w:val="009E5B07"/>
    <w:rsid w:val="009E5DA4"/>
    <w:rsid w:val="009E71D0"/>
    <w:rsid w:val="009E739C"/>
    <w:rsid w:val="009E73C5"/>
    <w:rsid w:val="009F0F58"/>
    <w:rsid w:val="009F337D"/>
    <w:rsid w:val="009F592F"/>
    <w:rsid w:val="009F6BD2"/>
    <w:rsid w:val="009F6C29"/>
    <w:rsid w:val="00A008BA"/>
    <w:rsid w:val="00A040D3"/>
    <w:rsid w:val="00A07A54"/>
    <w:rsid w:val="00A11EA4"/>
    <w:rsid w:val="00A134DE"/>
    <w:rsid w:val="00A14817"/>
    <w:rsid w:val="00A25B29"/>
    <w:rsid w:val="00A26F82"/>
    <w:rsid w:val="00A3159A"/>
    <w:rsid w:val="00A31D67"/>
    <w:rsid w:val="00A33288"/>
    <w:rsid w:val="00A40AC2"/>
    <w:rsid w:val="00A4104B"/>
    <w:rsid w:val="00A41217"/>
    <w:rsid w:val="00A41A60"/>
    <w:rsid w:val="00A435EA"/>
    <w:rsid w:val="00A437A9"/>
    <w:rsid w:val="00A43BB7"/>
    <w:rsid w:val="00A53789"/>
    <w:rsid w:val="00A557CB"/>
    <w:rsid w:val="00A558CD"/>
    <w:rsid w:val="00A56A68"/>
    <w:rsid w:val="00A57ED4"/>
    <w:rsid w:val="00A60C9B"/>
    <w:rsid w:val="00A62B9E"/>
    <w:rsid w:val="00A65631"/>
    <w:rsid w:val="00A67F1C"/>
    <w:rsid w:val="00A717BD"/>
    <w:rsid w:val="00A71D4E"/>
    <w:rsid w:val="00A727C2"/>
    <w:rsid w:val="00A74568"/>
    <w:rsid w:val="00A75374"/>
    <w:rsid w:val="00A81505"/>
    <w:rsid w:val="00A86C8D"/>
    <w:rsid w:val="00A9469B"/>
    <w:rsid w:val="00AA1F32"/>
    <w:rsid w:val="00AA30D2"/>
    <w:rsid w:val="00AA313B"/>
    <w:rsid w:val="00AA4AE8"/>
    <w:rsid w:val="00AA679B"/>
    <w:rsid w:val="00AA68D8"/>
    <w:rsid w:val="00AB2610"/>
    <w:rsid w:val="00AB331F"/>
    <w:rsid w:val="00AB74D2"/>
    <w:rsid w:val="00AB77A3"/>
    <w:rsid w:val="00AC3A70"/>
    <w:rsid w:val="00AC4BBD"/>
    <w:rsid w:val="00AC64E2"/>
    <w:rsid w:val="00AC796A"/>
    <w:rsid w:val="00AC7FBB"/>
    <w:rsid w:val="00AD0753"/>
    <w:rsid w:val="00AD5016"/>
    <w:rsid w:val="00AD630F"/>
    <w:rsid w:val="00AD646C"/>
    <w:rsid w:val="00AD6ACE"/>
    <w:rsid w:val="00AD6F64"/>
    <w:rsid w:val="00AD785A"/>
    <w:rsid w:val="00AE03B4"/>
    <w:rsid w:val="00AE12EB"/>
    <w:rsid w:val="00AE1BC5"/>
    <w:rsid w:val="00AE305B"/>
    <w:rsid w:val="00AE339D"/>
    <w:rsid w:val="00AE35AC"/>
    <w:rsid w:val="00AE46EA"/>
    <w:rsid w:val="00AE49C0"/>
    <w:rsid w:val="00AE5F2E"/>
    <w:rsid w:val="00AF0511"/>
    <w:rsid w:val="00AF5567"/>
    <w:rsid w:val="00AF6B2F"/>
    <w:rsid w:val="00B02D36"/>
    <w:rsid w:val="00B07F19"/>
    <w:rsid w:val="00B1045B"/>
    <w:rsid w:val="00B14FCF"/>
    <w:rsid w:val="00B15B8C"/>
    <w:rsid w:val="00B16C74"/>
    <w:rsid w:val="00B204BD"/>
    <w:rsid w:val="00B20978"/>
    <w:rsid w:val="00B20C69"/>
    <w:rsid w:val="00B21B0D"/>
    <w:rsid w:val="00B30D9C"/>
    <w:rsid w:val="00B31468"/>
    <w:rsid w:val="00B33AB2"/>
    <w:rsid w:val="00B34D3B"/>
    <w:rsid w:val="00B4296C"/>
    <w:rsid w:val="00B443E6"/>
    <w:rsid w:val="00B44695"/>
    <w:rsid w:val="00B451E3"/>
    <w:rsid w:val="00B4718D"/>
    <w:rsid w:val="00B50097"/>
    <w:rsid w:val="00B53154"/>
    <w:rsid w:val="00B54D9C"/>
    <w:rsid w:val="00B63D18"/>
    <w:rsid w:val="00B66822"/>
    <w:rsid w:val="00B71118"/>
    <w:rsid w:val="00B71BA8"/>
    <w:rsid w:val="00B773B3"/>
    <w:rsid w:val="00B80014"/>
    <w:rsid w:val="00B803EC"/>
    <w:rsid w:val="00B80654"/>
    <w:rsid w:val="00B837E8"/>
    <w:rsid w:val="00B85392"/>
    <w:rsid w:val="00B9136D"/>
    <w:rsid w:val="00B91376"/>
    <w:rsid w:val="00B919E0"/>
    <w:rsid w:val="00B926E1"/>
    <w:rsid w:val="00B94FE5"/>
    <w:rsid w:val="00B95816"/>
    <w:rsid w:val="00B96AEC"/>
    <w:rsid w:val="00B97E24"/>
    <w:rsid w:val="00BA03ED"/>
    <w:rsid w:val="00BA679F"/>
    <w:rsid w:val="00BB14B8"/>
    <w:rsid w:val="00BB1696"/>
    <w:rsid w:val="00BB1A20"/>
    <w:rsid w:val="00BC2133"/>
    <w:rsid w:val="00BC3857"/>
    <w:rsid w:val="00BC43EA"/>
    <w:rsid w:val="00BC463C"/>
    <w:rsid w:val="00BC4A93"/>
    <w:rsid w:val="00BD044E"/>
    <w:rsid w:val="00BD5285"/>
    <w:rsid w:val="00BD5E23"/>
    <w:rsid w:val="00BE12E5"/>
    <w:rsid w:val="00BE41D6"/>
    <w:rsid w:val="00BE4F3A"/>
    <w:rsid w:val="00BE5417"/>
    <w:rsid w:val="00BE59B7"/>
    <w:rsid w:val="00BE7CCD"/>
    <w:rsid w:val="00BF22EC"/>
    <w:rsid w:val="00C019A6"/>
    <w:rsid w:val="00C02459"/>
    <w:rsid w:val="00C02B22"/>
    <w:rsid w:val="00C05C7B"/>
    <w:rsid w:val="00C114C6"/>
    <w:rsid w:val="00C114E5"/>
    <w:rsid w:val="00C11AB3"/>
    <w:rsid w:val="00C11E4E"/>
    <w:rsid w:val="00C14D3F"/>
    <w:rsid w:val="00C17827"/>
    <w:rsid w:val="00C20FC8"/>
    <w:rsid w:val="00C225F4"/>
    <w:rsid w:val="00C22861"/>
    <w:rsid w:val="00C26E81"/>
    <w:rsid w:val="00C277E0"/>
    <w:rsid w:val="00C319B0"/>
    <w:rsid w:val="00C31E76"/>
    <w:rsid w:val="00C33E04"/>
    <w:rsid w:val="00C34E3C"/>
    <w:rsid w:val="00C36B01"/>
    <w:rsid w:val="00C36C70"/>
    <w:rsid w:val="00C400AB"/>
    <w:rsid w:val="00C41890"/>
    <w:rsid w:val="00C420F5"/>
    <w:rsid w:val="00C4262F"/>
    <w:rsid w:val="00C42A1D"/>
    <w:rsid w:val="00C45225"/>
    <w:rsid w:val="00C4537E"/>
    <w:rsid w:val="00C5051A"/>
    <w:rsid w:val="00C50589"/>
    <w:rsid w:val="00C50BA1"/>
    <w:rsid w:val="00C5155F"/>
    <w:rsid w:val="00C51E8A"/>
    <w:rsid w:val="00C531FD"/>
    <w:rsid w:val="00C56789"/>
    <w:rsid w:val="00C572A2"/>
    <w:rsid w:val="00C57AAC"/>
    <w:rsid w:val="00C57BFB"/>
    <w:rsid w:val="00C61F7E"/>
    <w:rsid w:val="00C64A3C"/>
    <w:rsid w:val="00C65923"/>
    <w:rsid w:val="00C65FE9"/>
    <w:rsid w:val="00C73724"/>
    <w:rsid w:val="00C768D1"/>
    <w:rsid w:val="00C77DBC"/>
    <w:rsid w:val="00C804D6"/>
    <w:rsid w:val="00C83511"/>
    <w:rsid w:val="00C8359D"/>
    <w:rsid w:val="00C83C9A"/>
    <w:rsid w:val="00C8555B"/>
    <w:rsid w:val="00C85D43"/>
    <w:rsid w:val="00C86BAF"/>
    <w:rsid w:val="00C8722D"/>
    <w:rsid w:val="00C901C2"/>
    <w:rsid w:val="00C901D4"/>
    <w:rsid w:val="00C91FCE"/>
    <w:rsid w:val="00C93BF8"/>
    <w:rsid w:val="00C94BD5"/>
    <w:rsid w:val="00CA22C9"/>
    <w:rsid w:val="00CA2AD9"/>
    <w:rsid w:val="00CA4B0F"/>
    <w:rsid w:val="00CA55F6"/>
    <w:rsid w:val="00CB3DD8"/>
    <w:rsid w:val="00CB4762"/>
    <w:rsid w:val="00CB7306"/>
    <w:rsid w:val="00CC0808"/>
    <w:rsid w:val="00CC5193"/>
    <w:rsid w:val="00CC5D82"/>
    <w:rsid w:val="00CD1B15"/>
    <w:rsid w:val="00CE2B1E"/>
    <w:rsid w:val="00CE587B"/>
    <w:rsid w:val="00CE6E6A"/>
    <w:rsid w:val="00CE7BD7"/>
    <w:rsid w:val="00CF377B"/>
    <w:rsid w:val="00CF73D6"/>
    <w:rsid w:val="00D013B3"/>
    <w:rsid w:val="00D036B4"/>
    <w:rsid w:val="00D03ED1"/>
    <w:rsid w:val="00D10483"/>
    <w:rsid w:val="00D107FE"/>
    <w:rsid w:val="00D12D58"/>
    <w:rsid w:val="00D225CE"/>
    <w:rsid w:val="00D277EB"/>
    <w:rsid w:val="00D30256"/>
    <w:rsid w:val="00D318F0"/>
    <w:rsid w:val="00D339B6"/>
    <w:rsid w:val="00D34707"/>
    <w:rsid w:val="00D41618"/>
    <w:rsid w:val="00D43F2C"/>
    <w:rsid w:val="00D47439"/>
    <w:rsid w:val="00D507CF"/>
    <w:rsid w:val="00D5288F"/>
    <w:rsid w:val="00D54E93"/>
    <w:rsid w:val="00D55217"/>
    <w:rsid w:val="00D5526B"/>
    <w:rsid w:val="00D61928"/>
    <w:rsid w:val="00D66962"/>
    <w:rsid w:val="00D6796A"/>
    <w:rsid w:val="00D716D4"/>
    <w:rsid w:val="00D71C64"/>
    <w:rsid w:val="00D7407A"/>
    <w:rsid w:val="00D7607C"/>
    <w:rsid w:val="00D76F0A"/>
    <w:rsid w:val="00D776EF"/>
    <w:rsid w:val="00D77CD5"/>
    <w:rsid w:val="00D81943"/>
    <w:rsid w:val="00D81BD5"/>
    <w:rsid w:val="00D82BEB"/>
    <w:rsid w:val="00D8301E"/>
    <w:rsid w:val="00D84DEF"/>
    <w:rsid w:val="00D85E5B"/>
    <w:rsid w:val="00D87A75"/>
    <w:rsid w:val="00D87D9C"/>
    <w:rsid w:val="00D92B3B"/>
    <w:rsid w:val="00D92DE0"/>
    <w:rsid w:val="00D93279"/>
    <w:rsid w:val="00D948AF"/>
    <w:rsid w:val="00D94D46"/>
    <w:rsid w:val="00D95012"/>
    <w:rsid w:val="00DA4152"/>
    <w:rsid w:val="00DA4F8C"/>
    <w:rsid w:val="00DA5E24"/>
    <w:rsid w:val="00DA7DED"/>
    <w:rsid w:val="00DB1C7D"/>
    <w:rsid w:val="00DB4EA5"/>
    <w:rsid w:val="00DB5CA5"/>
    <w:rsid w:val="00DB70AF"/>
    <w:rsid w:val="00DB7F89"/>
    <w:rsid w:val="00DC062B"/>
    <w:rsid w:val="00DC0A52"/>
    <w:rsid w:val="00DC1182"/>
    <w:rsid w:val="00DC2DF6"/>
    <w:rsid w:val="00DC328F"/>
    <w:rsid w:val="00DC3AEE"/>
    <w:rsid w:val="00DC49D0"/>
    <w:rsid w:val="00DC7A22"/>
    <w:rsid w:val="00DD0B4D"/>
    <w:rsid w:val="00DD0E98"/>
    <w:rsid w:val="00DD1343"/>
    <w:rsid w:val="00DD218A"/>
    <w:rsid w:val="00DD3302"/>
    <w:rsid w:val="00DD68DD"/>
    <w:rsid w:val="00DD6FAC"/>
    <w:rsid w:val="00DD74F5"/>
    <w:rsid w:val="00DD7D43"/>
    <w:rsid w:val="00DE051A"/>
    <w:rsid w:val="00DE6A69"/>
    <w:rsid w:val="00DF4A30"/>
    <w:rsid w:val="00DF4D2B"/>
    <w:rsid w:val="00E001DD"/>
    <w:rsid w:val="00E003EC"/>
    <w:rsid w:val="00E0050C"/>
    <w:rsid w:val="00E04094"/>
    <w:rsid w:val="00E07408"/>
    <w:rsid w:val="00E1082F"/>
    <w:rsid w:val="00E11803"/>
    <w:rsid w:val="00E13F58"/>
    <w:rsid w:val="00E1778A"/>
    <w:rsid w:val="00E17B2E"/>
    <w:rsid w:val="00E21AB5"/>
    <w:rsid w:val="00E22ED7"/>
    <w:rsid w:val="00E23F6E"/>
    <w:rsid w:val="00E242C1"/>
    <w:rsid w:val="00E2450C"/>
    <w:rsid w:val="00E24D92"/>
    <w:rsid w:val="00E2703A"/>
    <w:rsid w:val="00E27C62"/>
    <w:rsid w:val="00E32197"/>
    <w:rsid w:val="00E340B5"/>
    <w:rsid w:val="00E360C1"/>
    <w:rsid w:val="00E36599"/>
    <w:rsid w:val="00E4001E"/>
    <w:rsid w:val="00E42C3F"/>
    <w:rsid w:val="00E43C6E"/>
    <w:rsid w:val="00E46920"/>
    <w:rsid w:val="00E47DFD"/>
    <w:rsid w:val="00E51250"/>
    <w:rsid w:val="00E52398"/>
    <w:rsid w:val="00E52AD4"/>
    <w:rsid w:val="00E52CE0"/>
    <w:rsid w:val="00E53ACA"/>
    <w:rsid w:val="00E53EC2"/>
    <w:rsid w:val="00E54905"/>
    <w:rsid w:val="00E60DF8"/>
    <w:rsid w:val="00E62BD4"/>
    <w:rsid w:val="00E62DBB"/>
    <w:rsid w:val="00E6303F"/>
    <w:rsid w:val="00E63186"/>
    <w:rsid w:val="00E6444D"/>
    <w:rsid w:val="00E66C4F"/>
    <w:rsid w:val="00E7707B"/>
    <w:rsid w:val="00E80008"/>
    <w:rsid w:val="00E81216"/>
    <w:rsid w:val="00E840A4"/>
    <w:rsid w:val="00E8748B"/>
    <w:rsid w:val="00E879B5"/>
    <w:rsid w:val="00E90BA6"/>
    <w:rsid w:val="00E92926"/>
    <w:rsid w:val="00E92CBA"/>
    <w:rsid w:val="00E9409E"/>
    <w:rsid w:val="00E95C20"/>
    <w:rsid w:val="00E96406"/>
    <w:rsid w:val="00E96D65"/>
    <w:rsid w:val="00E976CA"/>
    <w:rsid w:val="00EA1AD4"/>
    <w:rsid w:val="00EA2A3F"/>
    <w:rsid w:val="00EA3F43"/>
    <w:rsid w:val="00EA44E6"/>
    <w:rsid w:val="00EA4F8A"/>
    <w:rsid w:val="00EA56B2"/>
    <w:rsid w:val="00EA608D"/>
    <w:rsid w:val="00EA62B1"/>
    <w:rsid w:val="00EB0BC3"/>
    <w:rsid w:val="00EB6A74"/>
    <w:rsid w:val="00EB6CCF"/>
    <w:rsid w:val="00EC0654"/>
    <w:rsid w:val="00EC0A76"/>
    <w:rsid w:val="00EC0E22"/>
    <w:rsid w:val="00EC114A"/>
    <w:rsid w:val="00EC16FA"/>
    <w:rsid w:val="00EC3C7B"/>
    <w:rsid w:val="00EC56F0"/>
    <w:rsid w:val="00EC7442"/>
    <w:rsid w:val="00ED112C"/>
    <w:rsid w:val="00ED1FB9"/>
    <w:rsid w:val="00ED5D5B"/>
    <w:rsid w:val="00EE5311"/>
    <w:rsid w:val="00EE65BB"/>
    <w:rsid w:val="00EE686A"/>
    <w:rsid w:val="00EE6AB8"/>
    <w:rsid w:val="00EF198C"/>
    <w:rsid w:val="00EF31E3"/>
    <w:rsid w:val="00EF57B6"/>
    <w:rsid w:val="00EF69D7"/>
    <w:rsid w:val="00F02C9B"/>
    <w:rsid w:val="00F10BED"/>
    <w:rsid w:val="00F11B4D"/>
    <w:rsid w:val="00F11E43"/>
    <w:rsid w:val="00F15CCD"/>
    <w:rsid w:val="00F16C54"/>
    <w:rsid w:val="00F1742B"/>
    <w:rsid w:val="00F209CD"/>
    <w:rsid w:val="00F24AAB"/>
    <w:rsid w:val="00F25B60"/>
    <w:rsid w:val="00F2778D"/>
    <w:rsid w:val="00F30BFB"/>
    <w:rsid w:val="00F343F7"/>
    <w:rsid w:val="00F34D45"/>
    <w:rsid w:val="00F3520C"/>
    <w:rsid w:val="00F35742"/>
    <w:rsid w:val="00F365B0"/>
    <w:rsid w:val="00F3743F"/>
    <w:rsid w:val="00F4105E"/>
    <w:rsid w:val="00F43628"/>
    <w:rsid w:val="00F448CA"/>
    <w:rsid w:val="00F45182"/>
    <w:rsid w:val="00F47259"/>
    <w:rsid w:val="00F475F8"/>
    <w:rsid w:val="00F47E8B"/>
    <w:rsid w:val="00F506A6"/>
    <w:rsid w:val="00F52791"/>
    <w:rsid w:val="00F57BF2"/>
    <w:rsid w:val="00F57DCE"/>
    <w:rsid w:val="00F616DA"/>
    <w:rsid w:val="00F66E93"/>
    <w:rsid w:val="00F71B3D"/>
    <w:rsid w:val="00F73E7F"/>
    <w:rsid w:val="00F75715"/>
    <w:rsid w:val="00F76694"/>
    <w:rsid w:val="00F76F95"/>
    <w:rsid w:val="00F8248D"/>
    <w:rsid w:val="00F83506"/>
    <w:rsid w:val="00F8527C"/>
    <w:rsid w:val="00F93744"/>
    <w:rsid w:val="00F93FD5"/>
    <w:rsid w:val="00F97826"/>
    <w:rsid w:val="00FA1927"/>
    <w:rsid w:val="00FA4815"/>
    <w:rsid w:val="00FA5DE5"/>
    <w:rsid w:val="00FB0548"/>
    <w:rsid w:val="00FB3934"/>
    <w:rsid w:val="00FB572E"/>
    <w:rsid w:val="00FB6BB6"/>
    <w:rsid w:val="00FC0097"/>
    <w:rsid w:val="00FC1252"/>
    <w:rsid w:val="00FC1266"/>
    <w:rsid w:val="00FC1641"/>
    <w:rsid w:val="00FC6528"/>
    <w:rsid w:val="00FD082E"/>
    <w:rsid w:val="00FD1401"/>
    <w:rsid w:val="00FD4B8D"/>
    <w:rsid w:val="00FD51EC"/>
    <w:rsid w:val="00FD547E"/>
    <w:rsid w:val="00FD622D"/>
    <w:rsid w:val="00FD6513"/>
    <w:rsid w:val="00FE4A2A"/>
    <w:rsid w:val="00FE77F4"/>
    <w:rsid w:val="00FF4051"/>
    <w:rsid w:val="00FF55E9"/>
    <w:rsid w:val="00FF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0" w:qFormat="1"/>
    <w:lsdException w:name="Title" w:semiHidden="0" w:uiPriority="10" w:unhideWhenUsed="0"/>
    <w:lsdException w:name="Default Paragraph Font" w:uiPriority="1"/>
    <w:lsdException w:name="Subtitle" w:semiHidden="0" w:uiPriority="11" w:unhideWhenUsed="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362F0"/>
    <w:pPr>
      <w:tabs>
        <w:tab w:val="left" w:pos="567"/>
      </w:tabs>
      <w:spacing w:after="200" w:line="276" w:lineRule="auto"/>
    </w:pPr>
    <w:rPr>
      <w:rFonts w:ascii="Times New Roman" w:hAnsi="Times New Roman" w:cstheme="minorBidi"/>
      <w:sz w:val="24"/>
      <w:lang w:val="en-GB"/>
    </w:rPr>
  </w:style>
  <w:style w:type="paragraph" w:styleId="Heading1">
    <w:name w:val="heading 1"/>
    <w:aliases w:val="FSHeading 1,Chapter heading"/>
    <w:basedOn w:val="Normal"/>
    <w:next w:val="Normal"/>
    <w:link w:val="Heading1Char"/>
    <w:uiPriority w:val="9"/>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D43F2C"/>
    <w:pPr>
      <w:keepNext/>
      <w:outlineLvl w:val="1"/>
    </w:pPr>
    <w:rPr>
      <w:rFonts w:ascii="Arial" w:eastAsiaTheme="majorEastAsia" w:hAnsi="Arial" w:cs="Arial"/>
      <w:b/>
      <w:bCs/>
      <w:sz w:val="22"/>
      <w:lang w:eastAsia="en-AU"/>
    </w:rPr>
  </w:style>
  <w:style w:type="paragraph" w:styleId="Heading3">
    <w:name w:val="heading 3"/>
    <w:aliases w:val="FSHeading 3,Subheading 1"/>
    <w:basedOn w:val="Normal"/>
    <w:next w:val="Normal"/>
    <w:link w:val="Heading3Char"/>
    <w:autoRedefine/>
    <w:uiPriority w:val="2"/>
    <w:unhideWhenUsed/>
    <w:qFormat/>
    <w:rsid w:val="00622A8C"/>
    <w:pPr>
      <w:keepNext/>
      <w:spacing w:line="240" w:lineRule="auto"/>
      <w:outlineLvl w:val="2"/>
    </w:pPr>
    <w:rPr>
      <w:rFonts w:ascii="Arial" w:eastAsiaTheme="majorEastAsia" w:hAnsi="Arial" w:cs="Arial"/>
      <w:bCs/>
      <w:i/>
      <w:sz w:val="22"/>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43F2C"/>
    <w:rPr>
      <w:rFonts w:eastAsiaTheme="majorEastAsia"/>
      <w:b/>
      <w:bCs/>
      <w:lang w:val="en-GB" w:eastAsia="en-AU"/>
    </w:rPr>
  </w:style>
  <w:style w:type="character" w:customStyle="1" w:styleId="Heading3Char">
    <w:name w:val="Heading 3 Char"/>
    <w:aliases w:val="FSHeading 3 Char,Subheading 1 Char"/>
    <w:basedOn w:val="DefaultParagraphFont"/>
    <w:link w:val="Heading3"/>
    <w:uiPriority w:val="2"/>
    <w:rsid w:val="00622A8C"/>
    <w:rPr>
      <w:rFonts w:eastAsiaTheme="majorEastAsia"/>
      <w:bCs/>
      <w:i/>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iPriority w:val="99"/>
    <w:semiHidden/>
    <w:unhideWhenUsed/>
    <w:rsid w:val="005362F0"/>
    <w:rPr>
      <w:vertAlign w:val="superscript"/>
    </w:rPr>
  </w:style>
  <w:style w:type="character" w:styleId="Strong">
    <w:name w:val="Strong"/>
    <w:basedOn w:val="DefaultParagraphFont"/>
    <w:qFormat/>
    <w:rsid w:val="005362F0"/>
    <w:rPr>
      <w:rFonts w:ascii="Calibri" w:hAnsi="Calibri" w:cs="Calibri"/>
      <w:sz w:val="22"/>
    </w:rPr>
  </w:style>
  <w:style w:type="paragraph" w:styleId="Caption">
    <w:name w:val="caption"/>
    <w:basedOn w:val="Normal"/>
    <w:next w:val="Normal"/>
    <w:qFormat/>
    <w:rsid w:val="00D34707"/>
    <w:pPr>
      <w:tabs>
        <w:tab w:val="clear" w:pos="567"/>
      </w:tabs>
      <w:spacing w:after="0" w:line="240" w:lineRule="auto"/>
    </w:pPr>
    <w:rPr>
      <w:rFonts w:ascii="Arial" w:eastAsia="Times New Roman" w:hAnsi="Arial" w:cs="Times New Roman"/>
      <w:b/>
      <w:bCs/>
      <w:sz w:val="22"/>
      <w:szCs w:val="20"/>
      <w:lang w:val="en-AU" w:eastAsia="en-AU"/>
    </w:rPr>
  </w:style>
  <w:style w:type="paragraph" w:customStyle="1" w:styleId="ISCbulleted">
    <w:name w:val="ISC bulleted"/>
    <w:basedOn w:val="Normal"/>
    <w:uiPriority w:val="99"/>
    <w:rsid w:val="00073BF8"/>
    <w:pPr>
      <w:numPr>
        <w:numId w:val="15"/>
      </w:numPr>
      <w:tabs>
        <w:tab w:val="clear" w:pos="360"/>
      </w:tabs>
      <w:spacing w:after="120" w:line="240" w:lineRule="auto"/>
      <w:ind w:left="567" w:hanging="567"/>
    </w:pPr>
    <w:rPr>
      <w:rFonts w:eastAsia="Times New Roman" w:cs="Times New Roman"/>
      <w:szCs w:val="24"/>
      <w:lang w:val="en-AU" w:eastAsia="en-AU"/>
    </w:rPr>
  </w:style>
  <w:style w:type="table" w:styleId="TableGrid">
    <w:name w:val="Table Grid"/>
    <w:basedOn w:val="TableNormal"/>
    <w:uiPriority w:val="59"/>
    <w:rsid w:val="00C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628C6"/>
    <w:pPr>
      <w:tabs>
        <w:tab w:val="clear" w:pos="567"/>
      </w:tabs>
      <w:spacing w:after="0" w:line="240" w:lineRule="auto"/>
    </w:pPr>
    <w:rPr>
      <w:rFonts w:eastAsia="Times New Roman" w:cs="Times New Roman"/>
      <w:i/>
      <w:iCs/>
      <w:szCs w:val="24"/>
    </w:rPr>
  </w:style>
  <w:style w:type="character" w:customStyle="1" w:styleId="BodyText3Char">
    <w:name w:val="Body Text 3 Char"/>
    <w:basedOn w:val="DefaultParagraphFont"/>
    <w:link w:val="BodyText3"/>
    <w:rsid w:val="003628C6"/>
    <w:rPr>
      <w:rFonts w:ascii="Times New Roman" w:eastAsia="Times New Roman" w:hAnsi="Times New Roman" w:cs="Times New Roman"/>
      <w:i/>
      <w:iCs/>
      <w:sz w:val="24"/>
      <w:szCs w:val="24"/>
      <w:lang w:val="en-GB"/>
    </w:rPr>
  </w:style>
  <w:style w:type="paragraph" w:customStyle="1" w:styleId="Bullet">
    <w:name w:val="Bullet"/>
    <w:basedOn w:val="Normal"/>
    <w:next w:val="Normal"/>
    <w:link w:val="BulletChar"/>
    <w:rsid w:val="009A175B"/>
    <w:pPr>
      <w:widowControl w:val="0"/>
      <w:numPr>
        <w:numId w:val="19"/>
      </w:numPr>
      <w:tabs>
        <w:tab w:val="clear" w:pos="577"/>
      </w:tabs>
      <w:spacing w:after="0" w:line="240" w:lineRule="auto"/>
      <w:ind w:left="567" w:hanging="567"/>
    </w:pPr>
    <w:rPr>
      <w:rFonts w:ascii="Arial" w:eastAsia="Times New Roman" w:hAnsi="Arial" w:cs="Times New Roman"/>
      <w:sz w:val="22"/>
      <w:szCs w:val="24"/>
    </w:rPr>
  </w:style>
  <w:style w:type="character" w:customStyle="1" w:styleId="BulletChar">
    <w:name w:val="Bullet Char"/>
    <w:basedOn w:val="DefaultParagraphFont"/>
    <w:link w:val="Bullet"/>
    <w:locked/>
    <w:rsid w:val="009A175B"/>
    <w:rPr>
      <w:rFonts w:eastAsia="Times New Roman" w:cs="Times New Roman"/>
      <w:szCs w:val="24"/>
      <w:lang w:val="en-GB"/>
    </w:rPr>
  </w:style>
  <w:style w:type="paragraph" w:customStyle="1" w:styleId="sarbtable">
    <w:name w:val="sarbtable"/>
    <w:basedOn w:val="Normal"/>
    <w:rsid w:val="00E81216"/>
    <w:pPr>
      <w:tabs>
        <w:tab w:val="clear" w:pos="567"/>
      </w:tabs>
      <w:spacing w:after="120" w:line="240" w:lineRule="auto"/>
    </w:pPr>
    <w:rPr>
      <w:rFonts w:ascii="Calibri" w:hAnsi="Calibri" w:cs="Times New Roman"/>
      <w:sz w:val="22"/>
      <w:lang w:eastAsia="en-GB"/>
    </w:rPr>
  </w:style>
  <w:style w:type="paragraph" w:styleId="TOCHeading">
    <w:name w:val="TOC Heading"/>
    <w:basedOn w:val="Heading1"/>
    <w:next w:val="Normal"/>
    <w:uiPriority w:val="39"/>
    <w:unhideWhenUsed/>
    <w:qFormat/>
    <w:rsid w:val="00F45182"/>
    <w:pPr>
      <w:keepLines/>
      <w:tabs>
        <w:tab w:val="clear" w:pos="567"/>
      </w:tabs>
      <w:spacing w:before="480" w:after="0"/>
      <w:ind w:left="0" w:firstLine="0"/>
      <w:outlineLvl w:val="9"/>
    </w:pPr>
    <w:rPr>
      <w:rFonts w:asciiTheme="majorHAnsi" w:hAnsiTheme="majorHAnsi"/>
      <w:color w:val="365F91" w:themeColor="accent1" w:themeShade="BF"/>
      <w:sz w:val="28"/>
      <w:lang w:val="en-US" w:eastAsia="ja-JP"/>
    </w:rPr>
  </w:style>
  <w:style w:type="paragraph" w:styleId="TableofFigures">
    <w:name w:val="table of figures"/>
    <w:basedOn w:val="Normal"/>
    <w:next w:val="Normal"/>
    <w:uiPriority w:val="99"/>
    <w:unhideWhenUsed/>
    <w:rsid w:val="00F45182"/>
    <w:pPr>
      <w:tabs>
        <w:tab w:val="clear" w:pos="567"/>
      </w:tabs>
      <w:spacing w:after="0"/>
      <w:ind w:left="480" w:hanging="480"/>
    </w:pPr>
    <w:rPr>
      <w:rFonts w:asciiTheme="minorHAnsi" w:hAnsiTheme="minorHAnsi"/>
      <w:caps/>
      <w:sz w:val="20"/>
      <w:szCs w:val="20"/>
    </w:rPr>
  </w:style>
  <w:style w:type="paragraph" w:styleId="TOC2">
    <w:name w:val="toc 2"/>
    <w:basedOn w:val="Normal"/>
    <w:next w:val="Normal"/>
    <w:autoRedefine/>
    <w:uiPriority w:val="39"/>
    <w:unhideWhenUsed/>
    <w:rsid w:val="00F45182"/>
    <w:pPr>
      <w:tabs>
        <w:tab w:val="clear" w:pos="567"/>
      </w:tabs>
      <w:spacing w:after="100"/>
      <w:ind w:left="240"/>
    </w:pPr>
  </w:style>
  <w:style w:type="paragraph" w:styleId="TOC3">
    <w:name w:val="toc 3"/>
    <w:basedOn w:val="Normal"/>
    <w:next w:val="Normal"/>
    <w:autoRedefine/>
    <w:uiPriority w:val="39"/>
    <w:unhideWhenUsed/>
    <w:rsid w:val="00846F29"/>
    <w:pPr>
      <w:tabs>
        <w:tab w:val="clear" w:pos="567"/>
        <w:tab w:val="left" w:pos="1320"/>
        <w:tab w:val="right" w:pos="9060"/>
      </w:tabs>
      <w:spacing w:after="100"/>
      <w:ind w:left="480"/>
    </w:pPr>
    <w:rPr>
      <w:rFonts w:ascii="Arial" w:hAnsi="Arial" w:cs="Arial"/>
      <w:i/>
      <w:noProof/>
      <w:sz w:val="22"/>
    </w:rPr>
  </w:style>
  <w:style w:type="character" w:styleId="Hyperlink">
    <w:name w:val="Hyperlink"/>
    <w:basedOn w:val="DefaultParagraphFont"/>
    <w:uiPriority w:val="99"/>
    <w:unhideWhenUsed/>
    <w:rsid w:val="00F45182"/>
    <w:rPr>
      <w:color w:val="0000FF" w:themeColor="hyperlink"/>
      <w:u w:val="single"/>
    </w:rPr>
  </w:style>
  <w:style w:type="paragraph" w:styleId="BalloonText">
    <w:name w:val="Balloon Text"/>
    <w:basedOn w:val="Normal"/>
    <w:link w:val="BalloonTextChar"/>
    <w:uiPriority w:val="99"/>
    <w:semiHidden/>
    <w:unhideWhenUsed/>
    <w:rsid w:val="00F45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182"/>
    <w:rPr>
      <w:rFonts w:ascii="Tahoma" w:hAnsi="Tahoma" w:cs="Tahoma"/>
      <w:sz w:val="16"/>
      <w:szCs w:val="16"/>
      <w:lang w:val="en-GB"/>
    </w:rPr>
  </w:style>
  <w:style w:type="paragraph" w:styleId="TOC1">
    <w:name w:val="toc 1"/>
    <w:basedOn w:val="Normal"/>
    <w:next w:val="Normal"/>
    <w:autoRedefine/>
    <w:uiPriority w:val="39"/>
    <w:unhideWhenUsed/>
    <w:rsid w:val="00CA2AD9"/>
    <w:pPr>
      <w:tabs>
        <w:tab w:val="clear" w:pos="567"/>
      </w:tabs>
      <w:spacing w:after="100"/>
    </w:pPr>
  </w:style>
  <w:style w:type="table" w:styleId="LightShading">
    <w:name w:val="Light Shading"/>
    <w:basedOn w:val="TableNormal"/>
    <w:uiPriority w:val="60"/>
    <w:rsid w:val="00DB7F89"/>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6B3DCD"/>
    <w:rPr>
      <w:rFonts w:ascii="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new">
    <w:name w:val="Body text (new)"/>
    <w:basedOn w:val="Normal"/>
    <w:link w:val="BodytextnewCharChar"/>
    <w:rsid w:val="008A27EB"/>
    <w:pPr>
      <w:tabs>
        <w:tab w:val="clear" w:pos="567"/>
      </w:tabs>
      <w:spacing w:before="240" w:after="240" w:line="360" w:lineRule="auto"/>
      <w:jc w:val="both"/>
    </w:pPr>
    <w:rPr>
      <w:rFonts w:ascii="Verdana" w:eastAsia="Times New Roman" w:hAnsi="Verdana" w:cs="Times New Roman"/>
      <w:color w:val="000080"/>
      <w:sz w:val="18"/>
      <w:szCs w:val="20"/>
      <w:lang w:eastAsia="en-GB"/>
    </w:rPr>
  </w:style>
  <w:style w:type="character" w:customStyle="1" w:styleId="BodytextnewCharChar">
    <w:name w:val="Body text (new) Char Char"/>
    <w:basedOn w:val="DefaultParagraphFont"/>
    <w:link w:val="Bodytextnew"/>
    <w:rsid w:val="008A27EB"/>
    <w:rPr>
      <w:rFonts w:ascii="Verdana" w:eastAsia="Times New Roman" w:hAnsi="Verdana" w:cs="Times New Roman"/>
      <w:color w:val="000080"/>
      <w:sz w:val="18"/>
      <w:szCs w:val="20"/>
      <w:lang w:val="en-GB" w:eastAsia="en-GB"/>
    </w:rPr>
  </w:style>
  <w:style w:type="character" w:customStyle="1" w:styleId="NoSpacingChar">
    <w:name w:val="No Spacing Char"/>
    <w:basedOn w:val="DefaultParagraphFont"/>
    <w:link w:val="NoSpacing"/>
    <w:uiPriority w:val="1"/>
    <w:rsid w:val="004F5C54"/>
    <w:rPr>
      <w:rFonts w:cstheme="minorBidi"/>
      <w:lang w:val="en-GB"/>
    </w:rPr>
  </w:style>
  <w:style w:type="character" w:styleId="CommentReference">
    <w:name w:val="annotation reference"/>
    <w:basedOn w:val="DefaultParagraphFont"/>
    <w:uiPriority w:val="99"/>
    <w:semiHidden/>
    <w:unhideWhenUsed/>
    <w:rsid w:val="00C768D1"/>
    <w:rPr>
      <w:sz w:val="16"/>
      <w:szCs w:val="16"/>
    </w:rPr>
  </w:style>
  <w:style w:type="paragraph" w:styleId="CommentText">
    <w:name w:val="annotation text"/>
    <w:basedOn w:val="Normal"/>
    <w:link w:val="CommentTextChar"/>
    <w:uiPriority w:val="99"/>
    <w:semiHidden/>
    <w:unhideWhenUsed/>
    <w:rsid w:val="00C768D1"/>
    <w:pPr>
      <w:spacing w:line="240" w:lineRule="auto"/>
    </w:pPr>
    <w:rPr>
      <w:sz w:val="20"/>
      <w:szCs w:val="20"/>
    </w:rPr>
  </w:style>
  <w:style w:type="character" w:customStyle="1" w:styleId="CommentTextChar">
    <w:name w:val="Comment Text Char"/>
    <w:basedOn w:val="DefaultParagraphFont"/>
    <w:link w:val="CommentText"/>
    <w:uiPriority w:val="99"/>
    <w:semiHidden/>
    <w:rsid w:val="00C768D1"/>
    <w:rPr>
      <w:rFonts w:ascii="Times New Roman" w:hAnsi="Times New Roman"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768D1"/>
    <w:rPr>
      <w:b/>
      <w:bCs/>
    </w:rPr>
  </w:style>
  <w:style w:type="character" w:customStyle="1" w:styleId="CommentSubjectChar">
    <w:name w:val="Comment Subject Char"/>
    <w:basedOn w:val="CommentTextChar"/>
    <w:link w:val="CommentSubject"/>
    <w:uiPriority w:val="99"/>
    <w:semiHidden/>
    <w:rsid w:val="00C768D1"/>
    <w:rPr>
      <w:rFonts w:ascii="Times New Roman" w:hAnsi="Times New Roman" w:cstheme="minorBidi"/>
      <w:b/>
      <w:bCs/>
      <w:sz w:val="20"/>
      <w:szCs w:val="20"/>
      <w:lang w:val="en-GB"/>
    </w:rPr>
  </w:style>
  <w:style w:type="character" w:styleId="Emphasis">
    <w:name w:val="Emphasis"/>
    <w:basedOn w:val="DefaultParagraphFont"/>
    <w:uiPriority w:val="20"/>
    <w:qFormat/>
    <w:rsid w:val="0075163C"/>
    <w:rPr>
      <w:i/>
      <w:iCs/>
    </w:rPr>
  </w:style>
  <w:style w:type="character" w:styleId="FollowedHyperlink">
    <w:name w:val="FollowedHyperlink"/>
    <w:basedOn w:val="DefaultParagraphFont"/>
    <w:uiPriority w:val="99"/>
    <w:semiHidden/>
    <w:unhideWhenUsed/>
    <w:rsid w:val="003522CC"/>
    <w:rPr>
      <w:color w:val="800080" w:themeColor="followedHyperlink"/>
      <w:u w:val="single"/>
    </w:rPr>
  </w:style>
  <w:style w:type="table" w:customStyle="1" w:styleId="TableGrid2">
    <w:name w:val="Table Grid2"/>
    <w:basedOn w:val="TableNormal"/>
    <w:next w:val="TableGrid"/>
    <w:uiPriority w:val="59"/>
    <w:rsid w:val="005F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01E"/>
    <w:rPr>
      <w:rFonts w:ascii="Times New Roman" w:hAnsi="Times New Roman" w:cstheme="minorBidi"/>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0" w:qFormat="1"/>
    <w:lsdException w:name="Title" w:semiHidden="0" w:uiPriority="10" w:unhideWhenUsed="0"/>
    <w:lsdException w:name="Default Paragraph Font" w:uiPriority="1"/>
    <w:lsdException w:name="Subtitle" w:semiHidden="0" w:uiPriority="11" w:unhideWhenUsed="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362F0"/>
    <w:pPr>
      <w:tabs>
        <w:tab w:val="left" w:pos="567"/>
      </w:tabs>
      <w:spacing w:after="200" w:line="276" w:lineRule="auto"/>
    </w:pPr>
    <w:rPr>
      <w:rFonts w:ascii="Times New Roman" w:hAnsi="Times New Roman" w:cstheme="minorBidi"/>
      <w:sz w:val="24"/>
      <w:lang w:val="en-GB"/>
    </w:rPr>
  </w:style>
  <w:style w:type="paragraph" w:styleId="Heading1">
    <w:name w:val="heading 1"/>
    <w:aliases w:val="FSHeading 1,Chapter heading"/>
    <w:basedOn w:val="Normal"/>
    <w:next w:val="Normal"/>
    <w:link w:val="Heading1Char"/>
    <w:uiPriority w:val="9"/>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D43F2C"/>
    <w:pPr>
      <w:keepNext/>
      <w:outlineLvl w:val="1"/>
    </w:pPr>
    <w:rPr>
      <w:rFonts w:ascii="Arial" w:eastAsiaTheme="majorEastAsia" w:hAnsi="Arial" w:cs="Arial"/>
      <w:b/>
      <w:bCs/>
      <w:sz w:val="22"/>
      <w:lang w:eastAsia="en-AU"/>
    </w:rPr>
  </w:style>
  <w:style w:type="paragraph" w:styleId="Heading3">
    <w:name w:val="heading 3"/>
    <w:aliases w:val="FSHeading 3,Subheading 1"/>
    <w:basedOn w:val="Normal"/>
    <w:next w:val="Normal"/>
    <w:link w:val="Heading3Char"/>
    <w:autoRedefine/>
    <w:uiPriority w:val="2"/>
    <w:unhideWhenUsed/>
    <w:qFormat/>
    <w:rsid w:val="00622A8C"/>
    <w:pPr>
      <w:keepNext/>
      <w:spacing w:line="240" w:lineRule="auto"/>
      <w:outlineLvl w:val="2"/>
    </w:pPr>
    <w:rPr>
      <w:rFonts w:ascii="Arial" w:eastAsiaTheme="majorEastAsia" w:hAnsi="Arial" w:cs="Arial"/>
      <w:bCs/>
      <w:i/>
      <w:sz w:val="22"/>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43F2C"/>
    <w:rPr>
      <w:rFonts w:eastAsiaTheme="majorEastAsia"/>
      <w:b/>
      <w:bCs/>
      <w:lang w:val="en-GB" w:eastAsia="en-AU"/>
    </w:rPr>
  </w:style>
  <w:style w:type="character" w:customStyle="1" w:styleId="Heading3Char">
    <w:name w:val="Heading 3 Char"/>
    <w:aliases w:val="FSHeading 3 Char,Subheading 1 Char"/>
    <w:basedOn w:val="DefaultParagraphFont"/>
    <w:link w:val="Heading3"/>
    <w:uiPriority w:val="2"/>
    <w:rsid w:val="00622A8C"/>
    <w:rPr>
      <w:rFonts w:eastAsiaTheme="majorEastAsia"/>
      <w:bCs/>
      <w:i/>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iPriority w:val="99"/>
    <w:semiHidden/>
    <w:unhideWhenUsed/>
    <w:rsid w:val="005362F0"/>
    <w:rPr>
      <w:vertAlign w:val="superscript"/>
    </w:rPr>
  </w:style>
  <w:style w:type="character" w:styleId="Strong">
    <w:name w:val="Strong"/>
    <w:basedOn w:val="DefaultParagraphFont"/>
    <w:qFormat/>
    <w:rsid w:val="005362F0"/>
    <w:rPr>
      <w:rFonts w:ascii="Calibri" w:hAnsi="Calibri" w:cs="Calibri"/>
      <w:sz w:val="22"/>
    </w:rPr>
  </w:style>
  <w:style w:type="paragraph" w:styleId="Caption">
    <w:name w:val="caption"/>
    <w:basedOn w:val="Normal"/>
    <w:next w:val="Normal"/>
    <w:qFormat/>
    <w:rsid w:val="00D34707"/>
    <w:pPr>
      <w:tabs>
        <w:tab w:val="clear" w:pos="567"/>
      </w:tabs>
      <w:spacing w:after="0" w:line="240" w:lineRule="auto"/>
    </w:pPr>
    <w:rPr>
      <w:rFonts w:ascii="Arial" w:eastAsia="Times New Roman" w:hAnsi="Arial" w:cs="Times New Roman"/>
      <w:b/>
      <w:bCs/>
      <w:sz w:val="22"/>
      <w:szCs w:val="20"/>
      <w:lang w:val="en-AU" w:eastAsia="en-AU"/>
    </w:rPr>
  </w:style>
  <w:style w:type="paragraph" w:customStyle="1" w:styleId="ISCbulleted">
    <w:name w:val="ISC bulleted"/>
    <w:basedOn w:val="Normal"/>
    <w:uiPriority w:val="99"/>
    <w:rsid w:val="00073BF8"/>
    <w:pPr>
      <w:numPr>
        <w:numId w:val="15"/>
      </w:numPr>
      <w:tabs>
        <w:tab w:val="clear" w:pos="360"/>
      </w:tabs>
      <w:spacing w:after="120" w:line="240" w:lineRule="auto"/>
      <w:ind w:left="567" w:hanging="567"/>
    </w:pPr>
    <w:rPr>
      <w:rFonts w:eastAsia="Times New Roman" w:cs="Times New Roman"/>
      <w:szCs w:val="24"/>
      <w:lang w:val="en-AU" w:eastAsia="en-AU"/>
    </w:rPr>
  </w:style>
  <w:style w:type="table" w:styleId="TableGrid">
    <w:name w:val="Table Grid"/>
    <w:basedOn w:val="TableNormal"/>
    <w:uiPriority w:val="59"/>
    <w:rsid w:val="00C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628C6"/>
    <w:pPr>
      <w:tabs>
        <w:tab w:val="clear" w:pos="567"/>
      </w:tabs>
      <w:spacing w:after="0" w:line="240" w:lineRule="auto"/>
    </w:pPr>
    <w:rPr>
      <w:rFonts w:eastAsia="Times New Roman" w:cs="Times New Roman"/>
      <w:i/>
      <w:iCs/>
      <w:szCs w:val="24"/>
    </w:rPr>
  </w:style>
  <w:style w:type="character" w:customStyle="1" w:styleId="BodyText3Char">
    <w:name w:val="Body Text 3 Char"/>
    <w:basedOn w:val="DefaultParagraphFont"/>
    <w:link w:val="BodyText3"/>
    <w:rsid w:val="003628C6"/>
    <w:rPr>
      <w:rFonts w:ascii="Times New Roman" w:eastAsia="Times New Roman" w:hAnsi="Times New Roman" w:cs="Times New Roman"/>
      <w:i/>
      <w:iCs/>
      <w:sz w:val="24"/>
      <w:szCs w:val="24"/>
      <w:lang w:val="en-GB"/>
    </w:rPr>
  </w:style>
  <w:style w:type="paragraph" w:customStyle="1" w:styleId="Bullet">
    <w:name w:val="Bullet"/>
    <w:basedOn w:val="Normal"/>
    <w:next w:val="Normal"/>
    <w:link w:val="BulletChar"/>
    <w:rsid w:val="009A175B"/>
    <w:pPr>
      <w:widowControl w:val="0"/>
      <w:numPr>
        <w:numId w:val="19"/>
      </w:numPr>
      <w:tabs>
        <w:tab w:val="clear" w:pos="577"/>
      </w:tabs>
      <w:spacing w:after="0" w:line="240" w:lineRule="auto"/>
      <w:ind w:left="567" w:hanging="567"/>
    </w:pPr>
    <w:rPr>
      <w:rFonts w:ascii="Arial" w:eastAsia="Times New Roman" w:hAnsi="Arial" w:cs="Times New Roman"/>
      <w:sz w:val="22"/>
      <w:szCs w:val="24"/>
    </w:rPr>
  </w:style>
  <w:style w:type="character" w:customStyle="1" w:styleId="BulletChar">
    <w:name w:val="Bullet Char"/>
    <w:basedOn w:val="DefaultParagraphFont"/>
    <w:link w:val="Bullet"/>
    <w:locked/>
    <w:rsid w:val="009A175B"/>
    <w:rPr>
      <w:rFonts w:eastAsia="Times New Roman" w:cs="Times New Roman"/>
      <w:szCs w:val="24"/>
      <w:lang w:val="en-GB"/>
    </w:rPr>
  </w:style>
  <w:style w:type="paragraph" w:customStyle="1" w:styleId="sarbtable">
    <w:name w:val="sarbtable"/>
    <w:basedOn w:val="Normal"/>
    <w:rsid w:val="00E81216"/>
    <w:pPr>
      <w:tabs>
        <w:tab w:val="clear" w:pos="567"/>
      </w:tabs>
      <w:spacing w:after="120" w:line="240" w:lineRule="auto"/>
    </w:pPr>
    <w:rPr>
      <w:rFonts w:ascii="Calibri" w:hAnsi="Calibri" w:cs="Times New Roman"/>
      <w:sz w:val="22"/>
      <w:lang w:eastAsia="en-GB"/>
    </w:rPr>
  </w:style>
  <w:style w:type="paragraph" w:styleId="TOCHeading">
    <w:name w:val="TOC Heading"/>
    <w:basedOn w:val="Heading1"/>
    <w:next w:val="Normal"/>
    <w:uiPriority w:val="39"/>
    <w:unhideWhenUsed/>
    <w:qFormat/>
    <w:rsid w:val="00F45182"/>
    <w:pPr>
      <w:keepLines/>
      <w:tabs>
        <w:tab w:val="clear" w:pos="567"/>
      </w:tabs>
      <w:spacing w:before="480" w:after="0"/>
      <w:ind w:left="0" w:firstLine="0"/>
      <w:outlineLvl w:val="9"/>
    </w:pPr>
    <w:rPr>
      <w:rFonts w:asciiTheme="majorHAnsi" w:hAnsiTheme="majorHAnsi"/>
      <w:color w:val="365F91" w:themeColor="accent1" w:themeShade="BF"/>
      <w:sz w:val="28"/>
      <w:lang w:val="en-US" w:eastAsia="ja-JP"/>
    </w:rPr>
  </w:style>
  <w:style w:type="paragraph" w:styleId="TableofFigures">
    <w:name w:val="table of figures"/>
    <w:basedOn w:val="Normal"/>
    <w:next w:val="Normal"/>
    <w:uiPriority w:val="99"/>
    <w:unhideWhenUsed/>
    <w:rsid w:val="00F45182"/>
    <w:pPr>
      <w:tabs>
        <w:tab w:val="clear" w:pos="567"/>
      </w:tabs>
      <w:spacing w:after="0"/>
      <w:ind w:left="480" w:hanging="480"/>
    </w:pPr>
    <w:rPr>
      <w:rFonts w:asciiTheme="minorHAnsi" w:hAnsiTheme="minorHAnsi"/>
      <w:caps/>
      <w:sz w:val="20"/>
      <w:szCs w:val="20"/>
    </w:rPr>
  </w:style>
  <w:style w:type="paragraph" w:styleId="TOC2">
    <w:name w:val="toc 2"/>
    <w:basedOn w:val="Normal"/>
    <w:next w:val="Normal"/>
    <w:autoRedefine/>
    <w:uiPriority w:val="39"/>
    <w:unhideWhenUsed/>
    <w:rsid w:val="00F45182"/>
    <w:pPr>
      <w:tabs>
        <w:tab w:val="clear" w:pos="567"/>
      </w:tabs>
      <w:spacing w:after="100"/>
      <w:ind w:left="240"/>
    </w:pPr>
  </w:style>
  <w:style w:type="paragraph" w:styleId="TOC3">
    <w:name w:val="toc 3"/>
    <w:basedOn w:val="Normal"/>
    <w:next w:val="Normal"/>
    <w:autoRedefine/>
    <w:uiPriority w:val="39"/>
    <w:unhideWhenUsed/>
    <w:rsid w:val="00846F29"/>
    <w:pPr>
      <w:tabs>
        <w:tab w:val="clear" w:pos="567"/>
        <w:tab w:val="left" w:pos="1320"/>
        <w:tab w:val="right" w:pos="9060"/>
      </w:tabs>
      <w:spacing w:after="100"/>
      <w:ind w:left="480"/>
    </w:pPr>
    <w:rPr>
      <w:rFonts w:ascii="Arial" w:hAnsi="Arial" w:cs="Arial"/>
      <w:i/>
      <w:noProof/>
      <w:sz w:val="22"/>
    </w:rPr>
  </w:style>
  <w:style w:type="character" w:styleId="Hyperlink">
    <w:name w:val="Hyperlink"/>
    <w:basedOn w:val="DefaultParagraphFont"/>
    <w:uiPriority w:val="99"/>
    <w:unhideWhenUsed/>
    <w:rsid w:val="00F45182"/>
    <w:rPr>
      <w:color w:val="0000FF" w:themeColor="hyperlink"/>
      <w:u w:val="single"/>
    </w:rPr>
  </w:style>
  <w:style w:type="paragraph" w:styleId="BalloonText">
    <w:name w:val="Balloon Text"/>
    <w:basedOn w:val="Normal"/>
    <w:link w:val="BalloonTextChar"/>
    <w:uiPriority w:val="99"/>
    <w:semiHidden/>
    <w:unhideWhenUsed/>
    <w:rsid w:val="00F45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182"/>
    <w:rPr>
      <w:rFonts w:ascii="Tahoma" w:hAnsi="Tahoma" w:cs="Tahoma"/>
      <w:sz w:val="16"/>
      <w:szCs w:val="16"/>
      <w:lang w:val="en-GB"/>
    </w:rPr>
  </w:style>
  <w:style w:type="paragraph" w:styleId="TOC1">
    <w:name w:val="toc 1"/>
    <w:basedOn w:val="Normal"/>
    <w:next w:val="Normal"/>
    <w:autoRedefine/>
    <w:uiPriority w:val="39"/>
    <w:unhideWhenUsed/>
    <w:rsid w:val="00CA2AD9"/>
    <w:pPr>
      <w:tabs>
        <w:tab w:val="clear" w:pos="567"/>
      </w:tabs>
      <w:spacing w:after="100"/>
    </w:pPr>
  </w:style>
  <w:style w:type="table" w:styleId="LightShading">
    <w:name w:val="Light Shading"/>
    <w:basedOn w:val="TableNormal"/>
    <w:uiPriority w:val="60"/>
    <w:rsid w:val="00DB7F89"/>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6B3DCD"/>
    <w:rPr>
      <w:rFonts w:ascii="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new">
    <w:name w:val="Body text (new)"/>
    <w:basedOn w:val="Normal"/>
    <w:link w:val="BodytextnewCharChar"/>
    <w:rsid w:val="008A27EB"/>
    <w:pPr>
      <w:tabs>
        <w:tab w:val="clear" w:pos="567"/>
      </w:tabs>
      <w:spacing w:before="240" w:after="240" w:line="360" w:lineRule="auto"/>
      <w:jc w:val="both"/>
    </w:pPr>
    <w:rPr>
      <w:rFonts w:ascii="Verdana" w:eastAsia="Times New Roman" w:hAnsi="Verdana" w:cs="Times New Roman"/>
      <w:color w:val="000080"/>
      <w:sz w:val="18"/>
      <w:szCs w:val="20"/>
      <w:lang w:eastAsia="en-GB"/>
    </w:rPr>
  </w:style>
  <w:style w:type="character" w:customStyle="1" w:styleId="BodytextnewCharChar">
    <w:name w:val="Body text (new) Char Char"/>
    <w:basedOn w:val="DefaultParagraphFont"/>
    <w:link w:val="Bodytextnew"/>
    <w:rsid w:val="008A27EB"/>
    <w:rPr>
      <w:rFonts w:ascii="Verdana" w:eastAsia="Times New Roman" w:hAnsi="Verdana" w:cs="Times New Roman"/>
      <w:color w:val="000080"/>
      <w:sz w:val="18"/>
      <w:szCs w:val="20"/>
      <w:lang w:val="en-GB" w:eastAsia="en-GB"/>
    </w:rPr>
  </w:style>
  <w:style w:type="character" w:customStyle="1" w:styleId="NoSpacingChar">
    <w:name w:val="No Spacing Char"/>
    <w:basedOn w:val="DefaultParagraphFont"/>
    <w:link w:val="NoSpacing"/>
    <w:uiPriority w:val="1"/>
    <w:rsid w:val="004F5C54"/>
    <w:rPr>
      <w:rFonts w:cstheme="minorBidi"/>
      <w:lang w:val="en-GB"/>
    </w:rPr>
  </w:style>
  <w:style w:type="character" w:styleId="CommentReference">
    <w:name w:val="annotation reference"/>
    <w:basedOn w:val="DefaultParagraphFont"/>
    <w:uiPriority w:val="99"/>
    <w:semiHidden/>
    <w:unhideWhenUsed/>
    <w:rsid w:val="00C768D1"/>
    <w:rPr>
      <w:sz w:val="16"/>
      <w:szCs w:val="16"/>
    </w:rPr>
  </w:style>
  <w:style w:type="paragraph" w:styleId="CommentText">
    <w:name w:val="annotation text"/>
    <w:basedOn w:val="Normal"/>
    <w:link w:val="CommentTextChar"/>
    <w:uiPriority w:val="99"/>
    <w:semiHidden/>
    <w:unhideWhenUsed/>
    <w:rsid w:val="00C768D1"/>
    <w:pPr>
      <w:spacing w:line="240" w:lineRule="auto"/>
    </w:pPr>
    <w:rPr>
      <w:sz w:val="20"/>
      <w:szCs w:val="20"/>
    </w:rPr>
  </w:style>
  <w:style w:type="character" w:customStyle="1" w:styleId="CommentTextChar">
    <w:name w:val="Comment Text Char"/>
    <w:basedOn w:val="DefaultParagraphFont"/>
    <w:link w:val="CommentText"/>
    <w:uiPriority w:val="99"/>
    <w:semiHidden/>
    <w:rsid w:val="00C768D1"/>
    <w:rPr>
      <w:rFonts w:ascii="Times New Roman" w:hAnsi="Times New Roman"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768D1"/>
    <w:rPr>
      <w:b/>
      <w:bCs/>
    </w:rPr>
  </w:style>
  <w:style w:type="character" w:customStyle="1" w:styleId="CommentSubjectChar">
    <w:name w:val="Comment Subject Char"/>
    <w:basedOn w:val="CommentTextChar"/>
    <w:link w:val="CommentSubject"/>
    <w:uiPriority w:val="99"/>
    <w:semiHidden/>
    <w:rsid w:val="00C768D1"/>
    <w:rPr>
      <w:rFonts w:ascii="Times New Roman" w:hAnsi="Times New Roman" w:cstheme="minorBidi"/>
      <w:b/>
      <w:bCs/>
      <w:sz w:val="20"/>
      <w:szCs w:val="20"/>
      <w:lang w:val="en-GB"/>
    </w:rPr>
  </w:style>
  <w:style w:type="character" w:styleId="Emphasis">
    <w:name w:val="Emphasis"/>
    <w:basedOn w:val="DefaultParagraphFont"/>
    <w:uiPriority w:val="20"/>
    <w:qFormat/>
    <w:rsid w:val="0075163C"/>
    <w:rPr>
      <w:i/>
      <w:iCs/>
    </w:rPr>
  </w:style>
  <w:style w:type="character" w:styleId="FollowedHyperlink">
    <w:name w:val="FollowedHyperlink"/>
    <w:basedOn w:val="DefaultParagraphFont"/>
    <w:uiPriority w:val="99"/>
    <w:semiHidden/>
    <w:unhideWhenUsed/>
    <w:rsid w:val="003522CC"/>
    <w:rPr>
      <w:color w:val="800080" w:themeColor="followedHyperlink"/>
      <w:u w:val="single"/>
    </w:rPr>
  </w:style>
  <w:style w:type="table" w:customStyle="1" w:styleId="TableGrid2">
    <w:name w:val="Table Grid2"/>
    <w:basedOn w:val="TableNormal"/>
    <w:next w:val="TableGrid"/>
    <w:uiPriority w:val="59"/>
    <w:rsid w:val="005F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01E"/>
    <w:rPr>
      <w:rFonts w:ascii="Times New Roman" w:hAnsi="Times New Roman" w:cstheme="minorBid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4093">
      <w:bodyDiv w:val="1"/>
      <w:marLeft w:val="0"/>
      <w:marRight w:val="0"/>
      <w:marTop w:val="0"/>
      <w:marBottom w:val="0"/>
      <w:divBdr>
        <w:top w:val="none" w:sz="0" w:space="0" w:color="auto"/>
        <w:left w:val="none" w:sz="0" w:space="0" w:color="auto"/>
        <w:bottom w:val="none" w:sz="0" w:space="0" w:color="auto"/>
        <w:right w:val="none" w:sz="0" w:space="0" w:color="auto"/>
      </w:divBdr>
    </w:div>
    <w:div w:id="441192462">
      <w:bodyDiv w:val="1"/>
      <w:marLeft w:val="0"/>
      <w:marRight w:val="0"/>
      <w:marTop w:val="0"/>
      <w:marBottom w:val="0"/>
      <w:divBdr>
        <w:top w:val="none" w:sz="0" w:space="0" w:color="auto"/>
        <w:left w:val="none" w:sz="0" w:space="0" w:color="auto"/>
        <w:bottom w:val="none" w:sz="0" w:space="0" w:color="auto"/>
        <w:right w:val="none" w:sz="0" w:space="0" w:color="auto"/>
      </w:divBdr>
    </w:div>
    <w:div w:id="708144996">
      <w:bodyDiv w:val="1"/>
      <w:marLeft w:val="0"/>
      <w:marRight w:val="0"/>
      <w:marTop w:val="0"/>
      <w:marBottom w:val="0"/>
      <w:divBdr>
        <w:top w:val="none" w:sz="0" w:space="0" w:color="auto"/>
        <w:left w:val="none" w:sz="0" w:space="0" w:color="auto"/>
        <w:bottom w:val="none" w:sz="0" w:space="0" w:color="auto"/>
        <w:right w:val="none" w:sz="0" w:space="0" w:color="auto"/>
      </w:divBdr>
    </w:div>
    <w:div w:id="881094831">
      <w:bodyDiv w:val="1"/>
      <w:marLeft w:val="0"/>
      <w:marRight w:val="0"/>
      <w:marTop w:val="0"/>
      <w:marBottom w:val="0"/>
      <w:divBdr>
        <w:top w:val="none" w:sz="0" w:space="0" w:color="auto"/>
        <w:left w:val="none" w:sz="0" w:space="0" w:color="auto"/>
        <w:bottom w:val="none" w:sz="0" w:space="0" w:color="auto"/>
        <w:right w:val="none" w:sz="0" w:space="0" w:color="auto"/>
      </w:divBdr>
    </w:div>
    <w:div w:id="1124229387">
      <w:bodyDiv w:val="1"/>
      <w:marLeft w:val="0"/>
      <w:marRight w:val="0"/>
      <w:marTop w:val="0"/>
      <w:marBottom w:val="0"/>
      <w:divBdr>
        <w:top w:val="none" w:sz="0" w:space="0" w:color="auto"/>
        <w:left w:val="none" w:sz="0" w:space="0" w:color="auto"/>
        <w:bottom w:val="none" w:sz="0" w:space="0" w:color="auto"/>
        <w:right w:val="none" w:sz="0" w:space="0" w:color="auto"/>
      </w:divBdr>
      <w:divsChild>
        <w:div w:id="1091392269">
          <w:marLeft w:val="547"/>
          <w:marRight w:val="0"/>
          <w:marTop w:val="0"/>
          <w:marBottom w:val="0"/>
          <w:divBdr>
            <w:top w:val="none" w:sz="0" w:space="0" w:color="auto"/>
            <w:left w:val="none" w:sz="0" w:space="0" w:color="auto"/>
            <w:bottom w:val="none" w:sz="0" w:space="0" w:color="auto"/>
            <w:right w:val="none" w:sz="0" w:space="0" w:color="auto"/>
          </w:divBdr>
        </w:div>
        <w:div w:id="1629510571">
          <w:marLeft w:val="547"/>
          <w:marRight w:val="0"/>
          <w:marTop w:val="0"/>
          <w:marBottom w:val="0"/>
          <w:divBdr>
            <w:top w:val="none" w:sz="0" w:space="0" w:color="auto"/>
            <w:left w:val="none" w:sz="0" w:space="0" w:color="auto"/>
            <w:bottom w:val="none" w:sz="0" w:space="0" w:color="auto"/>
            <w:right w:val="none" w:sz="0" w:space="0" w:color="auto"/>
          </w:divBdr>
        </w:div>
      </w:divsChild>
    </w:div>
    <w:div w:id="1151285246">
      <w:bodyDiv w:val="1"/>
      <w:marLeft w:val="0"/>
      <w:marRight w:val="0"/>
      <w:marTop w:val="0"/>
      <w:marBottom w:val="0"/>
      <w:divBdr>
        <w:top w:val="none" w:sz="0" w:space="0" w:color="auto"/>
        <w:left w:val="none" w:sz="0" w:space="0" w:color="auto"/>
        <w:bottom w:val="none" w:sz="0" w:space="0" w:color="auto"/>
        <w:right w:val="none" w:sz="0" w:space="0" w:color="auto"/>
      </w:divBdr>
    </w:div>
    <w:div w:id="1210343666">
      <w:bodyDiv w:val="1"/>
      <w:marLeft w:val="0"/>
      <w:marRight w:val="0"/>
      <w:marTop w:val="0"/>
      <w:marBottom w:val="0"/>
      <w:divBdr>
        <w:top w:val="none" w:sz="0" w:space="0" w:color="auto"/>
        <w:left w:val="none" w:sz="0" w:space="0" w:color="auto"/>
        <w:bottom w:val="none" w:sz="0" w:space="0" w:color="auto"/>
        <w:right w:val="none" w:sz="0" w:space="0" w:color="auto"/>
      </w:divBdr>
    </w:div>
    <w:div w:id="1232690602">
      <w:bodyDiv w:val="1"/>
      <w:marLeft w:val="0"/>
      <w:marRight w:val="0"/>
      <w:marTop w:val="0"/>
      <w:marBottom w:val="0"/>
      <w:divBdr>
        <w:top w:val="none" w:sz="0" w:space="0" w:color="auto"/>
        <w:left w:val="none" w:sz="0" w:space="0" w:color="auto"/>
        <w:bottom w:val="none" w:sz="0" w:space="0" w:color="auto"/>
        <w:right w:val="none" w:sz="0" w:space="0" w:color="auto"/>
      </w:divBdr>
    </w:div>
    <w:div w:id="1392391076">
      <w:bodyDiv w:val="1"/>
      <w:marLeft w:val="0"/>
      <w:marRight w:val="0"/>
      <w:marTop w:val="0"/>
      <w:marBottom w:val="0"/>
      <w:divBdr>
        <w:top w:val="none" w:sz="0" w:space="0" w:color="auto"/>
        <w:left w:val="none" w:sz="0" w:space="0" w:color="auto"/>
        <w:bottom w:val="none" w:sz="0" w:space="0" w:color="auto"/>
        <w:right w:val="none" w:sz="0" w:space="0" w:color="auto"/>
      </w:divBdr>
    </w:div>
    <w:div w:id="1421025546">
      <w:bodyDiv w:val="1"/>
      <w:marLeft w:val="0"/>
      <w:marRight w:val="0"/>
      <w:marTop w:val="0"/>
      <w:marBottom w:val="0"/>
      <w:divBdr>
        <w:top w:val="none" w:sz="0" w:space="0" w:color="auto"/>
        <w:left w:val="none" w:sz="0" w:space="0" w:color="auto"/>
        <w:bottom w:val="none" w:sz="0" w:space="0" w:color="auto"/>
        <w:right w:val="none" w:sz="0" w:space="0" w:color="auto"/>
      </w:divBdr>
    </w:div>
    <w:div w:id="1471827972">
      <w:bodyDiv w:val="1"/>
      <w:marLeft w:val="0"/>
      <w:marRight w:val="0"/>
      <w:marTop w:val="0"/>
      <w:marBottom w:val="0"/>
      <w:divBdr>
        <w:top w:val="none" w:sz="0" w:space="0" w:color="auto"/>
        <w:left w:val="none" w:sz="0" w:space="0" w:color="auto"/>
        <w:bottom w:val="none" w:sz="0" w:space="0" w:color="auto"/>
        <w:right w:val="none" w:sz="0" w:space="0" w:color="auto"/>
      </w:divBdr>
    </w:div>
    <w:div w:id="1915314599">
      <w:bodyDiv w:val="1"/>
      <w:marLeft w:val="0"/>
      <w:marRight w:val="0"/>
      <w:marTop w:val="0"/>
      <w:marBottom w:val="0"/>
      <w:divBdr>
        <w:top w:val="none" w:sz="0" w:space="0" w:color="auto"/>
        <w:left w:val="none" w:sz="0" w:space="0" w:color="auto"/>
        <w:bottom w:val="none" w:sz="0" w:space="0" w:color="auto"/>
        <w:right w:val="none" w:sz="0" w:space="0" w:color="auto"/>
      </w:divBdr>
    </w:div>
    <w:div w:id="1947615557">
      <w:bodyDiv w:val="1"/>
      <w:marLeft w:val="0"/>
      <w:marRight w:val="0"/>
      <w:marTop w:val="0"/>
      <w:marBottom w:val="0"/>
      <w:divBdr>
        <w:top w:val="none" w:sz="0" w:space="0" w:color="auto"/>
        <w:left w:val="none" w:sz="0" w:space="0" w:color="auto"/>
        <w:bottom w:val="none" w:sz="0" w:space="0" w:color="auto"/>
        <w:right w:val="none" w:sz="0" w:space="0" w:color="auto"/>
      </w:divBdr>
    </w:div>
    <w:div w:id="21081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13.emf"/><Relationship Id="rId21" Type="http://schemas.openxmlformats.org/officeDocument/2006/relationships/image" Target="media/image6.emf"/><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oodstandards.gov.au/science/exposure/Documents/Principles%20_%20practices%20exposure%20assessment%202009.pdf" TargetMode="External"/><Relationship Id="rId29" Type="http://schemas.openxmlformats.org/officeDocument/2006/relationships/hyperlink" Target="http://www.aihw.gov.au/publication-detail/?id=1073742008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image" Target="media/image9.emf"/><Relationship Id="rId32" Type="http://schemas.openxmlformats.org/officeDocument/2006/relationships/hyperlink" Target="http://www.who.int/nutrition/publications/micronutrients/9241546123/en/" TargetMode="External"/><Relationship Id="rId37" Type="http://schemas.openxmlformats.org/officeDocument/2006/relationships/header" Target="header3.xml"/><Relationship Id="rId40" Type="http://schemas.openxmlformats.org/officeDocument/2006/relationships/image" Target="media/image14.emf"/><Relationship Id="rId45" Type="http://schemas.openxmlformats.org/officeDocument/2006/relationships/customXml" Target="../customXml/item5.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image" Target="media/image8.emf"/><Relationship Id="rId28" Type="http://schemas.openxmlformats.org/officeDocument/2006/relationships/hyperlink" Target="http://www.aihw.gov.au/publication-detail/?id=10737418875" TargetMode="External"/><Relationship Id="rId36"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4.emf"/><Relationship Id="rId31" Type="http://schemas.openxmlformats.org/officeDocument/2006/relationships/hyperlink" Target="http://www.foodstandards.gov.au/publications/Pages/Consumers-awareness-attitudes.aspx" TargetMode="External"/><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yperlink" Target="http://www.foodstandards.gov.au/publications/Pages/Consumer-awareness-attitudes-behaviours-to-fortified-foods---qualitative-.aspx" TargetMode="External"/><Relationship Id="rId35" Type="http://schemas.openxmlformats.org/officeDocument/2006/relationships/footer" Target="footer1.xml"/><Relationship Id="rId43" Type="http://schemas.openxmlformats.org/officeDocument/2006/relationships/customXml" Target="../customXml/item3.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diagramLayout" Target="diagrams/layout1.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footer" Target="footer3.xml"/><Relationship Id="rId20" Type="http://schemas.openxmlformats.org/officeDocument/2006/relationships/image" Target="media/image5.emf"/><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publications/Pages/Consumers-awareness-attitudes.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6F0CF-0979-459D-B3DC-CD18DBC02A2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4B91A9B9-7ACB-4701-8D0B-C73A4BF3471A}">
      <dgm:prSet phldrT="[Text]" custT="1"/>
      <dgm:spPr/>
      <dgm:t>
        <a:bodyPr/>
        <a:lstStyle/>
        <a:p>
          <a:r>
            <a:rPr lang="en-GB" sz="1200">
              <a:latin typeface="Arial" panose="020B0604020202020204" pitchFamily="34" charset="0"/>
              <a:cs typeface="Arial" panose="020B0604020202020204" pitchFamily="34" charset="0"/>
            </a:rPr>
            <a:t>September/October</a:t>
          </a:r>
          <a:r>
            <a:rPr lang="en-GB" sz="2000">
              <a:latin typeface="Arial" panose="020B0604020202020204" pitchFamily="34" charset="0"/>
              <a:cs typeface="Arial" panose="020B0604020202020204" pitchFamily="34" charset="0"/>
            </a:rPr>
            <a:t> </a:t>
          </a:r>
          <a:r>
            <a:rPr lang="en-GB" sz="1200">
              <a:latin typeface="Arial" panose="020B0604020202020204" pitchFamily="34" charset="0"/>
              <a:cs typeface="Arial" panose="020B0604020202020204" pitchFamily="34" charset="0"/>
            </a:rPr>
            <a:t>2009</a:t>
          </a:r>
          <a:r>
            <a:rPr lang="en-GB" sz="1200" b="0">
              <a:latin typeface="Arial" panose="020B0604020202020204" pitchFamily="34" charset="0"/>
              <a:cs typeface="Arial" panose="020B0604020202020204" pitchFamily="34" charset="0"/>
            </a:rPr>
            <a:t>: Implementation of Australia New Zealand Food Standard 2.1.1-Cereal and Cereal Products.  </a:t>
          </a:r>
        </a:p>
        <a:p>
          <a:endParaRPr lang="en-GB" sz="1200" b="0">
            <a:latin typeface="Arial" panose="020B0604020202020204" pitchFamily="34" charset="0"/>
            <a:cs typeface="Arial" panose="020B0604020202020204" pitchFamily="34" charset="0"/>
          </a:endParaRPr>
        </a:p>
        <a:p>
          <a:r>
            <a:rPr lang="en-GB" sz="1200" b="0">
              <a:latin typeface="Arial" panose="020B0604020202020204" pitchFamily="34" charset="0"/>
              <a:cs typeface="Arial" panose="020B0604020202020204" pitchFamily="34" charset="0"/>
            </a:rPr>
            <a:t>Bread in the Australian food supply mandatorily fortified with folic acid and iodine </a:t>
          </a:r>
        </a:p>
      </dgm:t>
      <dgm:extLst>
        <a:ext uri="{E40237B7-FDA0-4F09-8148-C483321AD2D9}">
          <dgm14:cNvPr xmlns:dgm14="http://schemas.microsoft.com/office/drawing/2010/diagram" id="0" name="" title="Figure 1: Diagrammatic representation of FSANZ's iodine bread survey sampling periods"/>
        </a:ext>
      </dgm:extLst>
    </dgm:pt>
    <dgm:pt modelId="{878B03B0-6FE5-40D1-95BE-60AB639DB6E3}" type="parTrans" cxnId="{1E761243-828D-46AB-AFD2-65D9A556C468}">
      <dgm:prSet/>
      <dgm:spPr/>
      <dgm:t>
        <a:bodyPr/>
        <a:lstStyle/>
        <a:p>
          <a:endParaRPr lang="en-GB"/>
        </a:p>
      </dgm:t>
    </dgm:pt>
    <dgm:pt modelId="{76FA65E3-8B27-4C79-A386-38BD0D1A5E7E}" type="sibTrans" cxnId="{1E761243-828D-46AB-AFD2-65D9A556C468}">
      <dgm:prSet/>
      <dgm:spPr/>
      <dgm:t>
        <a:bodyPr/>
        <a:lstStyle/>
        <a:p>
          <a:endParaRPr lang="en-GB"/>
        </a:p>
      </dgm:t>
    </dgm:pt>
    <dgm:pt modelId="{F41412E0-F5D0-4E25-9DF1-625BAA3A4840}">
      <dgm:prSet phldrT="[Text]" custT="1"/>
      <dgm:spPr/>
      <dgm:t>
        <a:bodyPr/>
        <a:lstStyle/>
        <a:p>
          <a:r>
            <a:rPr lang="en-GB" sz="1100">
              <a:latin typeface="Arial" panose="020B0604020202020204" pitchFamily="34" charset="0"/>
              <a:cs typeface="Arial" panose="020B0604020202020204" pitchFamily="34" charset="0"/>
            </a:rPr>
            <a:t>June/July 2010: FSANZ Phase 1 bread survey - samples taken from capital cities of all Australian jurisdictions</a:t>
          </a:r>
        </a:p>
      </dgm:t>
    </dgm:pt>
    <dgm:pt modelId="{60671CCD-2BF4-42CB-90CA-8235568F4405}" type="parTrans" cxnId="{F402940C-C0C2-47B6-9796-ED4D1929421C}">
      <dgm:prSet/>
      <dgm:spPr/>
      <dgm:t>
        <a:bodyPr/>
        <a:lstStyle/>
        <a:p>
          <a:endParaRPr lang="en-GB"/>
        </a:p>
      </dgm:t>
    </dgm:pt>
    <dgm:pt modelId="{CCD9CF52-6F7A-44DC-BA4E-FFE562AFEE5C}" type="sibTrans" cxnId="{F402940C-C0C2-47B6-9796-ED4D1929421C}">
      <dgm:prSet/>
      <dgm:spPr/>
      <dgm:t>
        <a:bodyPr/>
        <a:lstStyle/>
        <a:p>
          <a:endParaRPr lang="en-GB"/>
        </a:p>
      </dgm:t>
    </dgm:pt>
    <dgm:pt modelId="{21ACB017-E382-4113-905C-71BB576FBDB0}">
      <dgm:prSet phldrT="[Text]" custT="1"/>
      <dgm:spPr/>
      <dgm:t>
        <a:bodyPr/>
        <a:lstStyle/>
        <a:p>
          <a:r>
            <a:rPr lang="en-GB" sz="1100">
              <a:latin typeface="Arial" panose="020B0604020202020204" pitchFamily="34" charset="0"/>
              <a:cs typeface="Arial" panose="020B0604020202020204" pitchFamily="34" charset="0"/>
            </a:rPr>
            <a:t>March/ April 2012 : FSANZ Phase 2 bread survey - samples taken from the capital cities of all Australian jurisdictions</a:t>
          </a:r>
          <a:endParaRPr lang="en-GB" sz="1100"/>
        </a:p>
      </dgm:t>
    </dgm:pt>
    <dgm:pt modelId="{D26C50C5-3483-4F94-96AD-188EC415BAA0}" type="parTrans" cxnId="{68A2B77B-D5FE-45FA-AB90-59999E91064D}">
      <dgm:prSet/>
      <dgm:spPr/>
      <dgm:t>
        <a:bodyPr/>
        <a:lstStyle/>
        <a:p>
          <a:endParaRPr lang="en-GB"/>
        </a:p>
      </dgm:t>
    </dgm:pt>
    <dgm:pt modelId="{833C76B1-A358-4D95-8699-D6547A63D7F8}" type="sibTrans" cxnId="{68A2B77B-D5FE-45FA-AB90-59999E91064D}">
      <dgm:prSet/>
      <dgm:spPr/>
      <dgm:t>
        <a:bodyPr/>
        <a:lstStyle/>
        <a:p>
          <a:endParaRPr lang="en-GB"/>
        </a:p>
      </dgm:t>
    </dgm:pt>
    <dgm:pt modelId="{E5EDF586-BD3D-47AC-827C-C6F46A660020}">
      <dgm:prSet phldrT="[Text]" custT="1"/>
      <dgm:spPr/>
      <dgm:t>
        <a:bodyPr/>
        <a:lstStyle/>
        <a:p>
          <a:r>
            <a:rPr lang="en-GB" sz="1100">
              <a:latin typeface="Arial" panose="020B0604020202020204" pitchFamily="34" charset="0"/>
              <a:cs typeface="Arial" panose="020B0604020202020204" pitchFamily="34" charset="0"/>
            </a:rPr>
            <a:t>April-June 2013: FSANZ Phase 3 bread survey - samples taken from only four jurisdictions - WA, VIC, ACT and QLD</a:t>
          </a:r>
        </a:p>
      </dgm:t>
    </dgm:pt>
    <dgm:pt modelId="{B79E9133-D864-4448-9DDB-9F9D952F90A6}" type="parTrans" cxnId="{090A1B24-D9F0-47CC-85D5-51C2312F23DA}">
      <dgm:prSet/>
      <dgm:spPr/>
      <dgm:t>
        <a:bodyPr/>
        <a:lstStyle/>
        <a:p>
          <a:endParaRPr lang="en-GB"/>
        </a:p>
      </dgm:t>
    </dgm:pt>
    <dgm:pt modelId="{766727B1-0150-43C4-802F-9061D45392A6}" type="sibTrans" cxnId="{090A1B24-D9F0-47CC-85D5-51C2312F23DA}">
      <dgm:prSet/>
      <dgm:spPr/>
      <dgm:t>
        <a:bodyPr/>
        <a:lstStyle/>
        <a:p>
          <a:endParaRPr lang="en-GB"/>
        </a:p>
      </dgm:t>
    </dgm:pt>
    <dgm:pt modelId="{460F53DC-4E30-49E6-8B16-20E91A82FBA2}" type="pres">
      <dgm:prSet presAssocID="{28C6F0CF-0979-459D-B3DC-CD18DBC02A24}" presName="diagram" presStyleCnt="0">
        <dgm:presLayoutVars>
          <dgm:chPref val="1"/>
          <dgm:dir/>
          <dgm:animOne val="branch"/>
          <dgm:animLvl val="lvl"/>
          <dgm:resizeHandles val="exact"/>
        </dgm:presLayoutVars>
      </dgm:prSet>
      <dgm:spPr/>
      <dgm:t>
        <a:bodyPr/>
        <a:lstStyle/>
        <a:p>
          <a:endParaRPr lang="en-GB"/>
        </a:p>
      </dgm:t>
    </dgm:pt>
    <dgm:pt modelId="{B04086A2-CA7E-48E5-A00F-AE1827B60582}" type="pres">
      <dgm:prSet presAssocID="{4B91A9B9-7ACB-4701-8D0B-C73A4BF3471A}" presName="root1" presStyleCnt="0"/>
      <dgm:spPr/>
    </dgm:pt>
    <dgm:pt modelId="{B9D731EC-6E79-4E70-8414-217D4F2797B1}" type="pres">
      <dgm:prSet presAssocID="{4B91A9B9-7ACB-4701-8D0B-C73A4BF3471A}" presName="LevelOneTextNode" presStyleLbl="node0" presStyleIdx="0" presStyleCnt="1" custScaleX="102428" custScaleY="227631" custLinFactNeighborX="-8103" custLinFactNeighborY="-2947">
        <dgm:presLayoutVars>
          <dgm:chPref val="3"/>
        </dgm:presLayoutVars>
      </dgm:prSet>
      <dgm:spPr/>
      <dgm:t>
        <a:bodyPr/>
        <a:lstStyle/>
        <a:p>
          <a:endParaRPr lang="en-GB"/>
        </a:p>
      </dgm:t>
    </dgm:pt>
    <dgm:pt modelId="{397C5FE6-6B2F-465E-BE20-41C57385E8D1}" type="pres">
      <dgm:prSet presAssocID="{4B91A9B9-7ACB-4701-8D0B-C73A4BF3471A}" presName="level2hierChild" presStyleCnt="0"/>
      <dgm:spPr/>
    </dgm:pt>
    <dgm:pt modelId="{BADA7F7B-CB8F-434C-9E10-44A831FED33E}" type="pres">
      <dgm:prSet presAssocID="{60671CCD-2BF4-42CB-90CA-8235568F4405}" presName="conn2-1" presStyleLbl="parChTrans1D2" presStyleIdx="0" presStyleCnt="3"/>
      <dgm:spPr/>
      <dgm:t>
        <a:bodyPr/>
        <a:lstStyle/>
        <a:p>
          <a:endParaRPr lang="en-GB"/>
        </a:p>
      </dgm:t>
    </dgm:pt>
    <dgm:pt modelId="{231E0F06-4E78-45C6-88FD-7F63496479AF}" type="pres">
      <dgm:prSet presAssocID="{60671CCD-2BF4-42CB-90CA-8235568F4405}" presName="connTx" presStyleLbl="parChTrans1D2" presStyleIdx="0" presStyleCnt="3"/>
      <dgm:spPr/>
      <dgm:t>
        <a:bodyPr/>
        <a:lstStyle/>
        <a:p>
          <a:endParaRPr lang="en-GB"/>
        </a:p>
      </dgm:t>
    </dgm:pt>
    <dgm:pt modelId="{86934051-B896-4D2B-9FC1-E14011A78DAE}" type="pres">
      <dgm:prSet presAssocID="{F41412E0-F5D0-4E25-9DF1-625BAA3A4840}" presName="root2" presStyleCnt="0"/>
      <dgm:spPr/>
    </dgm:pt>
    <dgm:pt modelId="{A243CE54-426F-4C87-9753-76E6E5E8B51A}" type="pres">
      <dgm:prSet presAssocID="{F41412E0-F5D0-4E25-9DF1-625BAA3A4840}" presName="LevelTwoTextNode" presStyleLbl="node2" presStyleIdx="0" presStyleCnt="3" custScaleX="128170" custScaleY="69721" custLinFactNeighborX="-18781" custLinFactNeighborY="-230">
        <dgm:presLayoutVars>
          <dgm:chPref val="3"/>
        </dgm:presLayoutVars>
      </dgm:prSet>
      <dgm:spPr/>
      <dgm:t>
        <a:bodyPr/>
        <a:lstStyle/>
        <a:p>
          <a:endParaRPr lang="en-GB"/>
        </a:p>
      </dgm:t>
    </dgm:pt>
    <dgm:pt modelId="{80222CB2-CE34-4AC4-AF65-3A16162B394A}" type="pres">
      <dgm:prSet presAssocID="{F41412E0-F5D0-4E25-9DF1-625BAA3A4840}" presName="level3hierChild" presStyleCnt="0"/>
      <dgm:spPr/>
    </dgm:pt>
    <dgm:pt modelId="{7462C583-00E7-4122-9043-C15CCDCD97F9}" type="pres">
      <dgm:prSet presAssocID="{D26C50C5-3483-4F94-96AD-188EC415BAA0}" presName="conn2-1" presStyleLbl="parChTrans1D2" presStyleIdx="1" presStyleCnt="3"/>
      <dgm:spPr/>
      <dgm:t>
        <a:bodyPr/>
        <a:lstStyle/>
        <a:p>
          <a:endParaRPr lang="en-GB"/>
        </a:p>
      </dgm:t>
    </dgm:pt>
    <dgm:pt modelId="{FE4BAF60-A88A-4471-AA3A-D0EB80FAA094}" type="pres">
      <dgm:prSet presAssocID="{D26C50C5-3483-4F94-96AD-188EC415BAA0}" presName="connTx" presStyleLbl="parChTrans1D2" presStyleIdx="1" presStyleCnt="3"/>
      <dgm:spPr/>
      <dgm:t>
        <a:bodyPr/>
        <a:lstStyle/>
        <a:p>
          <a:endParaRPr lang="en-GB"/>
        </a:p>
      </dgm:t>
    </dgm:pt>
    <dgm:pt modelId="{9FC131DB-911A-42F5-8DDE-9DD52C7D9390}" type="pres">
      <dgm:prSet presAssocID="{21ACB017-E382-4113-905C-71BB576FBDB0}" presName="root2" presStyleCnt="0"/>
      <dgm:spPr/>
    </dgm:pt>
    <dgm:pt modelId="{B3A4AA9C-39DE-4D1B-8037-75EBE4B42C51}" type="pres">
      <dgm:prSet presAssocID="{21ACB017-E382-4113-905C-71BB576FBDB0}" presName="LevelTwoTextNode" presStyleLbl="node2" presStyleIdx="1" presStyleCnt="3" custScaleX="130701" custScaleY="85991" custLinFactNeighborX="-17957" custLinFactNeighborY="-2760">
        <dgm:presLayoutVars>
          <dgm:chPref val="3"/>
        </dgm:presLayoutVars>
      </dgm:prSet>
      <dgm:spPr/>
      <dgm:t>
        <a:bodyPr/>
        <a:lstStyle/>
        <a:p>
          <a:endParaRPr lang="en-GB"/>
        </a:p>
      </dgm:t>
    </dgm:pt>
    <dgm:pt modelId="{C110C627-7E80-4E6F-A835-A4E0F233CFE5}" type="pres">
      <dgm:prSet presAssocID="{21ACB017-E382-4113-905C-71BB576FBDB0}" presName="level3hierChild" presStyleCnt="0"/>
      <dgm:spPr/>
    </dgm:pt>
    <dgm:pt modelId="{9DB3B06F-37FF-44D1-B2C2-15E9220B3097}" type="pres">
      <dgm:prSet presAssocID="{B79E9133-D864-4448-9DDB-9F9D952F90A6}" presName="conn2-1" presStyleLbl="parChTrans1D2" presStyleIdx="2" presStyleCnt="3"/>
      <dgm:spPr/>
      <dgm:t>
        <a:bodyPr/>
        <a:lstStyle/>
        <a:p>
          <a:endParaRPr lang="en-GB"/>
        </a:p>
      </dgm:t>
    </dgm:pt>
    <dgm:pt modelId="{086EAC99-B7B2-4F35-A4A4-A3B41282E66B}" type="pres">
      <dgm:prSet presAssocID="{B79E9133-D864-4448-9DDB-9F9D952F90A6}" presName="connTx" presStyleLbl="parChTrans1D2" presStyleIdx="2" presStyleCnt="3"/>
      <dgm:spPr/>
      <dgm:t>
        <a:bodyPr/>
        <a:lstStyle/>
        <a:p>
          <a:endParaRPr lang="en-GB"/>
        </a:p>
      </dgm:t>
    </dgm:pt>
    <dgm:pt modelId="{FFC7BA58-8DC4-407C-B18C-E5C0904B6B38}" type="pres">
      <dgm:prSet presAssocID="{E5EDF586-BD3D-47AC-827C-C6F46A660020}" presName="root2" presStyleCnt="0"/>
      <dgm:spPr/>
    </dgm:pt>
    <dgm:pt modelId="{C6C63DD1-86E6-4482-BA32-DB606798B641}" type="pres">
      <dgm:prSet presAssocID="{E5EDF586-BD3D-47AC-827C-C6F46A660020}" presName="LevelTwoTextNode" presStyleLbl="node2" presStyleIdx="2" presStyleCnt="3" custScaleX="146875" custScaleY="77087" custLinFactNeighborX="-22517" custLinFactNeighborY="230">
        <dgm:presLayoutVars>
          <dgm:chPref val="3"/>
        </dgm:presLayoutVars>
      </dgm:prSet>
      <dgm:spPr/>
      <dgm:t>
        <a:bodyPr/>
        <a:lstStyle/>
        <a:p>
          <a:endParaRPr lang="en-GB"/>
        </a:p>
      </dgm:t>
    </dgm:pt>
    <dgm:pt modelId="{2BF668BD-4E81-4A25-A523-609078D55014}" type="pres">
      <dgm:prSet presAssocID="{E5EDF586-BD3D-47AC-827C-C6F46A660020}" presName="level3hierChild" presStyleCnt="0"/>
      <dgm:spPr/>
    </dgm:pt>
  </dgm:ptLst>
  <dgm:cxnLst>
    <dgm:cxn modelId="{68A2B77B-D5FE-45FA-AB90-59999E91064D}" srcId="{4B91A9B9-7ACB-4701-8D0B-C73A4BF3471A}" destId="{21ACB017-E382-4113-905C-71BB576FBDB0}" srcOrd="1" destOrd="0" parTransId="{D26C50C5-3483-4F94-96AD-188EC415BAA0}" sibTransId="{833C76B1-A358-4D95-8699-D6547A63D7F8}"/>
    <dgm:cxn modelId="{8847681A-1046-4109-AB42-B1C1D6A532DF}" type="presOf" srcId="{4B91A9B9-7ACB-4701-8D0B-C73A4BF3471A}" destId="{B9D731EC-6E79-4E70-8414-217D4F2797B1}" srcOrd="0" destOrd="0" presId="urn:microsoft.com/office/officeart/2005/8/layout/hierarchy2"/>
    <dgm:cxn modelId="{3BD92C28-EFC8-449B-B7D8-503EC295E8D0}" type="presOf" srcId="{E5EDF586-BD3D-47AC-827C-C6F46A660020}" destId="{C6C63DD1-86E6-4482-BA32-DB606798B641}" srcOrd="0" destOrd="0" presId="urn:microsoft.com/office/officeart/2005/8/layout/hierarchy2"/>
    <dgm:cxn modelId="{1E761243-828D-46AB-AFD2-65D9A556C468}" srcId="{28C6F0CF-0979-459D-B3DC-CD18DBC02A24}" destId="{4B91A9B9-7ACB-4701-8D0B-C73A4BF3471A}" srcOrd="0" destOrd="0" parTransId="{878B03B0-6FE5-40D1-95BE-60AB639DB6E3}" sibTransId="{76FA65E3-8B27-4C79-A386-38BD0D1A5E7E}"/>
    <dgm:cxn modelId="{A5BABD90-4665-4D97-BDF7-4D4A25D59244}" type="presOf" srcId="{60671CCD-2BF4-42CB-90CA-8235568F4405}" destId="{BADA7F7B-CB8F-434C-9E10-44A831FED33E}" srcOrd="0" destOrd="0" presId="urn:microsoft.com/office/officeart/2005/8/layout/hierarchy2"/>
    <dgm:cxn modelId="{F402940C-C0C2-47B6-9796-ED4D1929421C}" srcId="{4B91A9B9-7ACB-4701-8D0B-C73A4BF3471A}" destId="{F41412E0-F5D0-4E25-9DF1-625BAA3A4840}" srcOrd="0" destOrd="0" parTransId="{60671CCD-2BF4-42CB-90CA-8235568F4405}" sibTransId="{CCD9CF52-6F7A-44DC-BA4E-FFE562AFEE5C}"/>
    <dgm:cxn modelId="{599D214E-6723-4439-B922-8709DC190B22}" type="presOf" srcId="{B79E9133-D864-4448-9DDB-9F9D952F90A6}" destId="{086EAC99-B7B2-4F35-A4A4-A3B41282E66B}" srcOrd="1" destOrd="0" presId="urn:microsoft.com/office/officeart/2005/8/layout/hierarchy2"/>
    <dgm:cxn modelId="{EB0D708E-A6A9-4CFD-B09C-99191A6EFEB4}" type="presOf" srcId="{F41412E0-F5D0-4E25-9DF1-625BAA3A4840}" destId="{A243CE54-426F-4C87-9753-76E6E5E8B51A}" srcOrd="0" destOrd="0" presId="urn:microsoft.com/office/officeart/2005/8/layout/hierarchy2"/>
    <dgm:cxn modelId="{D83DA3A2-82D3-41DA-9072-103051708DEA}" type="presOf" srcId="{D26C50C5-3483-4F94-96AD-188EC415BAA0}" destId="{7462C583-00E7-4122-9043-C15CCDCD97F9}" srcOrd="0" destOrd="0" presId="urn:microsoft.com/office/officeart/2005/8/layout/hierarchy2"/>
    <dgm:cxn modelId="{4480A836-7946-449C-9013-8D440A271888}" type="presOf" srcId="{28C6F0CF-0979-459D-B3DC-CD18DBC02A24}" destId="{460F53DC-4E30-49E6-8B16-20E91A82FBA2}" srcOrd="0" destOrd="0" presId="urn:microsoft.com/office/officeart/2005/8/layout/hierarchy2"/>
    <dgm:cxn modelId="{374D68C7-4D74-405F-AF1A-014D5580C980}" type="presOf" srcId="{B79E9133-D864-4448-9DDB-9F9D952F90A6}" destId="{9DB3B06F-37FF-44D1-B2C2-15E9220B3097}" srcOrd="0" destOrd="0" presId="urn:microsoft.com/office/officeart/2005/8/layout/hierarchy2"/>
    <dgm:cxn modelId="{58AD0001-29F9-4607-B090-CBDD22C7D02C}" type="presOf" srcId="{D26C50C5-3483-4F94-96AD-188EC415BAA0}" destId="{FE4BAF60-A88A-4471-AA3A-D0EB80FAA094}" srcOrd="1" destOrd="0" presId="urn:microsoft.com/office/officeart/2005/8/layout/hierarchy2"/>
    <dgm:cxn modelId="{A921B315-E258-427A-A3CF-E8B6D93808B0}" type="presOf" srcId="{21ACB017-E382-4113-905C-71BB576FBDB0}" destId="{B3A4AA9C-39DE-4D1B-8037-75EBE4B42C51}" srcOrd="0" destOrd="0" presId="urn:microsoft.com/office/officeart/2005/8/layout/hierarchy2"/>
    <dgm:cxn modelId="{090A1B24-D9F0-47CC-85D5-51C2312F23DA}" srcId="{4B91A9B9-7ACB-4701-8D0B-C73A4BF3471A}" destId="{E5EDF586-BD3D-47AC-827C-C6F46A660020}" srcOrd="2" destOrd="0" parTransId="{B79E9133-D864-4448-9DDB-9F9D952F90A6}" sibTransId="{766727B1-0150-43C4-802F-9061D45392A6}"/>
    <dgm:cxn modelId="{C3655473-0B30-467F-829B-A6DFF89CF227}" type="presOf" srcId="{60671CCD-2BF4-42CB-90CA-8235568F4405}" destId="{231E0F06-4E78-45C6-88FD-7F63496479AF}" srcOrd="1" destOrd="0" presId="urn:microsoft.com/office/officeart/2005/8/layout/hierarchy2"/>
    <dgm:cxn modelId="{24BC7B70-3653-4362-8DC3-82BA09D9F706}" type="presParOf" srcId="{460F53DC-4E30-49E6-8B16-20E91A82FBA2}" destId="{B04086A2-CA7E-48E5-A00F-AE1827B60582}" srcOrd="0" destOrd="0" presId="urn:microsoft.com/office/officeart/2005/8/layout/hierarchy2"/>
    <dgm:cxn modelId="{2798046F-D4CA-47D0-83A3-7A2DAD2FACEC}" type="presParOf" srcId="{B04086A2-CA7E-48E5-A00F-AE1827B60582}" destId="{B9D731EC-6E79-4E70-8414-217D4F2797B1}" srcOrd="0" destOrd="0" presId="urn:microsoft.com/office/officeart/2005/8/layout/hierarchy2"/>
    <dgm:cxn modelId="{DAD68C11-2AE5-4583-AF33-6636DC6DEC29}" type="presParOf" srcId="{B04086A2-CA7E-48E5-A00F-AE1827B60582}" destId="{397C5FE6-6B2F-465E-BE20-41C57385E8D1}" srcOrd="1" destOrd="0" presId="urn:microsoft.com/office/officeart/2005/8/layout/hierarchy2"/>
    <dgm:cxn modelId="{0FD62E3B-162F-40BC-A465-5D8D859FC2DC}" type="presParOf" srcId="{397C5FE6-6B2F-465E-BE20-41C57385E8D1}" destId="{BADA7F7B-CB8F-434C-9E10-44A831FED33E}" srcOrd="0" destOrd="0" presId="urn:microsoft.com/office/officeart/2005/8/layout/hierarchy2"/>
    <dgm:cxn modelId="{A0634010-A8DC-4538-97DC-CE35E891C647}" type="presParOf" srcId="{BADA7F7B-CB8F-434C-9E10-44A831FED33E}" destId="{231E0F06-4E78-45C6-88FD-7F63496479AF}" srcOrd="0" destOrd="0" presId="urn:microsoft.com/office/officeart/2005/8/layout/hierarchy2"/>
    <dgm:cxn modelId="{FAB68886-38BB-45EF-8411-412F398438A2}" type="presParOf" srcId="{397C5FE6-6B2F-465E-BE20-41C57385E8D1}" destId="{86934051-B896-4D2B-9FC1-E14011A78DAE}" srcOrd="1" destOrd="0" presId="urn:microsoft.com/office/officeart/2005/8/layout/hierarchy2"/>
    <dgm:cxn modelId="{5ECD4655-822D-4159-B813-5ACC383F1E25}" type="presParOf" srcId="{86934051-B896-4D2B-9FC1-E14011A78DAE}" destId="{A243CE54-426F-4C87-9753-76E6E5E8B51A}" srcOrd="0" destOrd="0" presId="urn:microsoft.com/office/officeart/2005/8/layout/hierarchy2"/>
    <dgm:cxn modelId="{3A2ABB9B-F1BB-4A49-BD91-E0CD087E34B6}" type="presParOf" srcId="{86934051-B896-4D2B-9FC1-E14011A78DAE}" destId="{80222CB2-CE34-4AC4-AF65-3A16162B394A}" srcOrd="1" destOrd="0" presId="urn:microsoft.com/office/officeart/2005/8/layout/hierarchy2"/>
    <dgm:cxn modelId="{605AB3AA-E01A-4AA0-A9A9-30847DEAB7C2}" type="presParOf" srcId="{397C5FE6-6B2F-465E-BE20-41C57385E8D1}" destId="{7462C583-00E7-4122-9043-C15CCDCD97F9}" srcOrd="2" destOrd="0" presId="urn:microsoft.com/office/officeart/2005/8/layout/hierarchy2"/>
    <dgm:cxn modelId="{425C15D4-8C6B-4113-BB46-C70539241A1D}" type="presParOf" srcId="{7462C583-00E7-4122-9043-C15CCDCD97F9}" destId="{FE4BAF60-A88A-4471-AA3A-D0EB80FAA094}" srcOrd="0" destOrd="0" presId="urn:microsoft.com/office/officeart/2005/8/layout/hierarchy2"/>
    <dgm:cxn modelId="{A29D4C43-664E-4418-B207-7F421EF87CD0}" type="presParOf" srcId="{397C5FE6-6B2F-465E-BE20-41C57385E8D1}" destId="{9FC131DB-911A-42F5-8DDE-9DD52C7D9390}" srcOrd="3" destOrd="0" presId="urn:microsoft.com/office/officeart/2005/8/layout/hierarchy2"/>
    <dgm:cxn modelId="{06F3D4E9-B72F-45FA-AAE0-BABC0CF06140}" type="presParOf" srcId="{9FC131DB-911A-42F5-8DDE-9DD52C7D9390}" destId="{B3A4AA9C-39DE-4D1B-8037-75EBE4B42C51}" srcOrd="0" destOrd="0" presId="urn:microsoft.com/office/officeart/2005/8/layout/hierarchy2"/>
    <dgm:cxn modelId="{B78FBA10-3D60-4BB0-A1FA-529B150DB6C2}" type="presParOf" srcId="{9FC131DB-911A-42F5-8DDE-9DD52C7D9390}" destId="{C110C627-7E80-4E6F-A835-A4E0F233CFE5}" srcOrd="1" destOrd="0" presId="urn:microsoft.com/office/officeart/2005/8/layout/hierarchy2"/>
    <dgm:cxn modelId="{2361BBF9-1C18-4CDC-A86D-BF394D74B52E}" type="presParOf" srcId="{397C5FE6-6B2F-465E-BE20-41C57385E8D1}" destId="{9DB3B06F-37FF-44D1-B2C2-15E9220B3097}" srcOrd="4" destOrd="0" presId="urn:microsoft.com/office/officeart/2005/8/layout/hierarchy2"/>
    <dgm:cxn modelId="{8C41483B-2E23-4EC0-A30C-CB105D621BF9}" type="presParOf" srcId="{9DB3B06F-37FF-44D1-B2C2-15E9220B3097}" destId="{086EAC99-B7B2-4F35-A4A4-A3B41282E66B}" srcOrd="0" destOrd="0" presId="urn:microsoft.com/office/officeart/2005/8/layout/hierarchy2"/>
    <dgm:cxn modelId="{46AC939C-3EE2-499A-865F-7B7F2C1678D3}" type="presParOf" srcId="{397C5FE6-6B2F-465E-BE20-41C57385E8D1}" destId="{FFC7BA58-8DC4-407C-B18C-E5C0904B6B38}" srcOrd="5" destOrd="0" presId="urn:microsoft.com/office/officeart/2005/8/layout/hierarchy2"/>
    <dgm:cxn modelId="{5D27D155-F276-4121-80B8-26AFE8D81C12}" type="presParOf" srcId="{FFC7BA58-8DC4-407C-B18C-E5C0904B6B38}" destId="{C6C63DD1-86E6-4482-BA32-DB606798B641}" srcOrd="0" destOrd="0" presId="urn:microsoft.com/office/officeart/2005/8/layout/hierarchy2"/>
    <dgm:cxn modelId="{860D0C3C-EE79-45F6-8C33-11B7FE03F6E6}" type="presParOf" srcId="{FFC7BA58-8DC4-407C-B18C-E5C0904B6B38}" destId="{2BF668BD-4E81-4A25-A523-609078D55014}"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731EC-6E79-4E70-8414-217D4F2797B1}">
      <dsp:nvSpPr>
        <dsp:cNvPr id="0" name=""/>
        <dsp:cNvSpPr/>
      </dsp:nvSpPr>
      <dsp:spPr>
        <a:xfrm>
          <a:off x="0" y="185241"/>
          <a:ext cx="2035769" cy="22620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September/October</a:t>
          </a:r>
          <a:r>
            <a:rPr lang="en-GB" sz="2000" kern="1200">
              <a:latin typeface="Arial" panose="020B0604020202020204" pitchFamily="34" charset="0"/>
              <a:cs typeface="Arial" panose="020B0604020202020204" pitchFamily="34" charset="0"/>
            </a:rPr>
            <a:t> </a:t>
          </a:r>
          <a:r>
            <a:rPr lang="en-GB" sz="1200" kern="1200">
              <a:latin typeface="Arial" panose="020B0604020202020204" pitchFamily="34" charset="0"/>
              <a:cs typeface="Arial" panose="020B0604020202020204" pitchFamily="34" charset="0"/>
            </a:rPr>
            <a:t>2009</a:t>
          </a:r>
          <a:r>
            <a:rPr lang="en-GB" sz="1200" b="0" kern="1200">
              <a:latin typeface="Arial" panose="020B0604020202020204" pitchFamily="34" charset="0"/>
              <a:cs typeface="Arial" panose="020B0604020202020204" pitchFamily="34" charset="0"/>
            </a:rPr>
            <a:t>: Implementation of Australia New Zealand Food Standard 2.1.1-Cereal and Cereal Products.  </a:t>
          </a:r>
        </a:p>
        <a:p>
          <a:pPr lvl="0" algn="ctr" defTabSz="533400">
            <a:lnSpc>
              <a:spcPct val="90000"/>
            </a:lnSpc>
            <a:spcBef>
              <a:spcPct val="0"/>
            </a:spcBef>
            <a:spcAft>
              <a:spcPct val="35000"/>
            </a:spcAft>
          </a:pPr>
          <a:endParaRPr lang="en-GB" sz="1200" b="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1200" b="0" kern="1200">
              <a:latin typeface="Arial" panose="020B0604020202020204" pitchFamily="34" charset="0"/>
              <a:cs typeface="Arial" panose="020B0604020202020204" pitchFamily="34" charset="0"/>
            </a:rPr>
            <a:t>Bread in the Australian food supply mandatorily fortified with folic acid and iodine </a:t>
          </a:r>
        </a:p>
      </dsp:txBody>
      <dsp:txXfrm>
        <a:off x="59626" y="244867"/>
        <a:ext cx="1916517" cy="2142845"/>
      </dsp:txXfrm>
    </dsp:sp>
    <dsp:sp modelId="{BADA7F7B-CB8F-434C-9E10-44A831FED33E}">
      <dsp:nvSpPr>
        <dsp:cNvPr id="0" name=""/>
        <dsp:cNvSpPr/>
      </dsp:nvSpPr>
      <dsp:spPr>
        <a:xfrm rot="17674839">
          <a:off x="1736375" y="816875"/>
          <a:ext cx="1025276" cy="66468"/>
        </a:xfrm>
        <a:custGeom>
          <a:avLst/>
          <a:gdLst/>
          <a:ahLst/>
          <a:cxnLst/>
          <a:rect l="0" t="0" r="0" b="0"/>
          <a:pathLst>
            <a:path>
              <a:moveTo>
                <a:pt x="0" y="33234"/>
              </a:moveTo>
              <a:lnTo>
                <a:pt x="1025276" y="33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223381" y="824477"/>
        <a:ext cx="51263" cy="51263"/>
      </dsp:txXfrm>
    </dsp:sp>
    <dsp:sp modelId="{A243CE54-426F-4C87-9753-76E6E5E8B51A}">
      <dsp:nvSpPr>
        <dsp:cNvPr id="0" name=""/>
        <dsp:cNvSpPr/>
      </dsp:nvSpPr>
      <dsp:spPr>
        <a:xfrm>
          <a:off x="2462257" y="37499"/>
          <a:ext cx="2547395" cy="6928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June/July 2010: FSANZ Phase 1 bread survey - samples taken from capital cities of all Australian jurisdictions</a:t>
          </a:r>
        </a:p>
      </dsp:txBody>
      <dsp:txXfrm>
        <a:off x="2482550" y="57792"/>
        <a:ext cx="2506809" cy="652270"/>
      </dsp:txXfrm>
    </dsp:sp>
    <dsp:sp modelId="{7462C583-00E7-4122-9043-C15CCDCD97F9}">
      <dsp:nvSpPr>
        <dsp:cNvPr id="0" name=""/>
        <dsp:cNvSpPr/>
      </dsp:nvSpPr>
      <dsp:spPr>
        <a:xfrm rot="21330868">
          <a:off x="2035089" y="1265685"/>
          <a:ext cx="444225" cy="66468"/>
        </a:xfrm>
        <a:custGeom>
          <a:avLst/>
          <a:gdLst/>
          <a:ahLst/>
          <a:cxnLst/>
          <a:rect l="0" t="0" r="0" b="0"/>
          <a:pathLst>
            <a:path>
              <a:moveTo>
                <a:pt x="0" y="33234"/>
              </a:moveTo>
              <a:lnTo>
                <a:pt x="444225" y="33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246096" y="1287813"/>
        <a:ext cx="22211" cy="22211"/>
      </dsp:txXfrm>
    </dsp:sp>
    <dsp:sp modelId="{B3A4AA9C-39DE-4D1B-8037-75EBE4B42C51}">
      <dsp:nvSpPr>
        <dsp:cNvPr id="0" name=""/>
        <dsp:cNvSpPr/>
      </dsp:nvSpPr>
      <dsp:spPr>
        <a:xfrm>
          <a:off x="2478634" y="854278"/>
          <a:ext cx="2597699" cy="8545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March/ April 2012 : FSANZ Phase 2 bread survey - samples taken from the capital cities of all Australian jurisdictions</a:t>
          </a:r>
          <a:endParaRPr lang="en-GB" sz="1100" kern="1200"/>
        </a:p>
      </dsp:txBody>
      <dsp:txXfrm>
        <a:off x="2503663" y="879307"/>
        <a:ext cx="2547641" cy="804483"/>
      </dsp:txXfrm>
    </dsp:sp>
    <dsp:sp modelId="{9DB3B06F-37FF-44D1-B2C2-15E9220B3097}">
      <dsp:nvSpPr>
        <dsp:cNvPr id="0" name=""/>
        <dsp:cNvSpPr/>
      </dsp:nvSpPr>
      <dsp:spPr>
        <a:xfrm rot="4184486">
          <a:off x="1703255" y="1760223"/>
          <a:ext cx="1017262" cy="66468"/>
        </a:xfrm>
        <a:custGeom>
          <a:avLst/>
          <a:gdLst/>
          <a:ahLst/>
          <a:cxnLst/>
          <a:rect l="0" t="0" r="0" b="0"/>
          <a:pathLst>
            <a:path>
              <a:moveTo>
                <a:pt x="0" y="33234"/>
              </a:moveTo>
              <a:lnTo>
                <a:pt x="1017262" y="33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86455" y="1768026"/>
        <a:ext cx="50863" cy="50863"/>
      </dsp:txXfrm>
    </dsp:sp>
    <dsp:sp modelId="{C6C63DD1-86E6-4482-BA32-DB606798B641}">
      <dsp:nvSpPr>
        <dsp:cNvPr id="0" name=""/>
        <dsp:cNvSpPr/>
      </dsp:nvSpPr>
      <dsp:spPr>
        <a:xfrm>
          <a:off x="2388004" y="1887596"/>
          <a:ext cx="2919159" cy="766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April-June 2013: FSANZ Phase 3 bread survey - samples taken from only four jurisdictions - WA, VIC, ACT and QLD</a:t>
          </a:r>
        </a:p>
      </dsp:txBody>
      <dsp:txXfrm>
        <a:off x="2410441" y="1910033"/>
        <a:ext cx="2874285" cy="7211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C0120A7-FD2B-4232-B352-78C7E1642734}"/>
</file>

<file path=customXml/itemProps3.xml><?xml version="1.0" encoding="utf-8"?>
<ds:datastoreItem xmlns:ds="http://schemas.openxmlformats.org/officeDocument/2006/customXml" ds:itemID="{15D9A64F-05F8-4C84-9D56-C4E7BA8CC0C7}"/>
</file>

<file path=customXml/itemProps4.xml><?xml version="1.0" encoding="utf-8"?>
<ds:datastoreItem xmlns:ds="http://schemas.openxmlformats.org/officeDocument/2006/customXml" ds:itemID="{811037B3-5C24-4986-BEAC-F21361DBF406}"/>
</file>

<file path=customXml/itemProps5.xml><?xml version="1.0" encoding="utf-8"?>
<ds:datastoreItem xmlns:ds="http://schemas.openxmlformats.org/officeDocument/2006/customXml" ds:itemID="{16E6D75A-1B04-4489-95F6-D110C3BF43FF}"/>
</file>

<file path=docProps/app.xml><?xml version="1.0" encoding="utf-8"?>
<Properties xmlns="http://schemas.openxmlformats.org/officeDocument/2006/extended-properties" xmlns:vt="http://schemas.openxmlformats.org/officeDocument/2006/docPropsVTypes">
  <Template>Normal</Template>
  <TotalTime>0</TotalTime>
  <Pages>39</Pages>
  <Words>10611</Words>
  <Characters>60487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2016-06-27T03:37:00Z</dcterms:created>
  <dcterms:modified xsi:type="dcterms:W3CDTF">2016-06-27T03:44:00Z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